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927" w:rsidRPr="00486DFA" w:rsidRDefault="00DB3A67" w:rsidP="00486DFA">
      <w:pPr>
        <w:shd w:val="clear" w:color="auto" w:fill="FFFFFF"/>
        <w:spacing w:after="0"/>
        <w:jc w:val="center"/>
        <w:textAlignment w:val="baseline"/>
        <w:rPr>
          <w:rFonts w:ascii="Times New Roman" w:hAnsi="Times New Roman"/>
          <w:color w:val="444444"/>
          <w:sz w:val="28"/>
          <w:szCs w:val="28"/>
          <w:lang w:val="uk-UA"/>
        </w:rPr>
      </w:pPr>
      <w:r w:rsidRPr="00486DFA">
        <w:rPr>
          <w:rFonts w:ascii="Times New Roman" w:hAnsi="Times New Roman"/>
          <w:b/>
          <w:bCs/>
          <w:color w:val="444444"/>
          <w:sz w:val="28"/>
          <w:szCs w:val="28"/>
          <w:lang w:val="uk-UA"/>
        </w:rPr>
        <w:t>ПОЯСНЮВА</w:t>
      </w:r>
      <w:r w:rsidR="00092927" w:rsidRPr="00486DFA">
        <w:rPr>
          <w:rFonts w:ascii="Times New Roman" w:hAnsi="Times New Roman"/>
          <w:b/>
          <w:bCs/>
          <w:color w:val="444444"/>
          <w:sz w:val="28"/>
          <w:szCs w:val="28"/>
          <w:lang w:val="uk-UA"/>
        </w:rPr>
        <w:t>Л</w:t>
      </w:r>
      <w:r w:rsidRPr="00486DFA">
        <w:rPr>
          <w:rFonts w:ascii="Times New Roman" w:hAnsi="Times New Roman"/>
          <w:b/>
          <w:bCs/>
          <w:color w:val="444444"/>
          <w:sz w:val="28"/>
          <w:szCs w:val="28"/>
          <w:lang w:val="uk-UA"/>
        </w:rPr>
        <w:t xml:space="preserve">ЬНА </w:t>
      </w:r>
      <w:r w:rsidR="00092927" w:rsidRPr="00486DFA">
        <w:rPr>
          <w:rFonts w:ascii="Times New Roman" w:hAnsi="Times New Roman"/>
          <w:b/>
          <w:bCs/>
          <w:color w:val="444444"/>
          <w:sz w:val="28"/>
          <w:szCs w:val="28"/>
          <w:lang w:val="uk-UA"/>
        </w:rPr>
        <w:t>ЗАП</w:t>
      </w:r>
      <w:r w:rsidRPr="00486DFA">
        <w:rPr>
          <w:rFonts w:ascii="Times New Roman" w:hAnsi="Times New Roman"/>
          <w:b/>
          <w:bCs/>
          <w:color w:val="444444"/>
          <w:sz w:val="28"/>
          <w:szCs w:val="28"/>
          <w:lang w:val="uk-UA"/>
        </w:rPr>
        <w:t>И</w:t>
      </w:r>
      <w:r w:rsidR="00092927" w:rsidRPr="00486DFA">
        <w:rPr>
          <w:rFonts w:ascii="Times New Roman" w:hAnsi="Times New Roman"/>
          <w:b/>
          <w:bCs/>
          <w:color w:val="444444"/>
          <w:sz w:val="28"/>
          <w:szCs w:val="28"/>
          <w:lang w:val="uk-UA"/>
        </w:rPr>
        <w:t>СКА</w:t>
      </w:r>
    </w:p>
    <w:p w:rsidR="00DB3A67" w:rsidRPr="00486DFA" w:rsidRDefault="00092927" w:rsidP="00486DFA">
      <w:pPr>
        <w:shd w:val="clear" w:color="auto" w:fill="FFFFFF"/>
        <w:spacing w:after="0"/>
        <w:jc w:val="center"/>
        <w:textAlignment w:val="baseline"/>
        <w:rPr>
          <w:rFonts w:ascii="Times New Roman" w:hAnsi="Times New Roman"/>
          <w:bCs/>
          <w:color w:val="444444"/>
          <w:sz w:val="28"/>
          <w:szCs w:val="28"/>
          <w:lang w:val="uk-UA"/>
        </w:rPr>
      </w:pPr>
      <w:r w:rsidRPr="00486DFA">
        <w:rPr>
          <w:rFonts w:ascii="Times New Roman" w:hAnsi="Times New Roman"/>
          <w:bCs/>
          <w:color w:val="444444"/>
          <w:sz w:val="28"/>
          <w:szCs w:val="28"/>
          <w:lang w:val="uk-UA"/>
        </w:rPr>
        <w:t xml:space="preserve">до звіту </w:t>
      </w:r>
      <w:r w:rsidR="00DB3A67" w:rsidRPr="00486DFA">
        <w:rPr>
          <w:rFonts w:ascii="Times New Roman" w:hAnsi="Times New Roman"/>
          <w:bCs/>
          <w:color w:val="444444"/>
          <w:sz w:val="28"/>
          <w:szCs w:val="28"/>
          <w:lang w:val="uk-UA"/>
        </w:rPr>
        <w:t>про виконання фінансового плану</w:t>
      </w:r>
      <w:r w:rsidRPr="00486DFA">
        <w:rPr>
          <w:rFonts w:ascii="Times New Roman" w:hAnsi="Times New Roman"/>
          <w:bCs/>
          <w:color w:val="444444"/>
          <w:sz w:val="28"/>
          <w:szCs w:val="28"/>
          <w:lang w:val="uk-UA"/>
        </w:rPr>
        <w:t xml:space="preserve"> </w:t>
      </w:r>
      <w:r w:rsidR="00DB3A67" w:rsidRPr="00486DFA">
        <w:rPr>
          <w:rFonts w:ascii="Times New Roman" w:hAnsi="Times New Roman"/>
          <w:bCs/>
          <w:color w:val="444444"/>
          <w:sz w:val="28"/>
          <w:szCs w:val="28"/>
          <w:lang w:val="uk-UA"/>
        </w:rPr>
        <w:t>к</w:t>
      </w:r>
      <w:r w:rsidRPr="00486DFA">
        <w:rPr>
          <w:rFonts w:ascii="Times New Roman" w:hAnsi="Times New Roman"/>
          <w:bCs/>
          <w:color w:val="444444"/>
          <w:sz w:val="28"/>
          <w:szCs w:val="28"/>
          <w:lang w:val="uk-UA"/>
        </w:rPr>
        <w:t xml:space="preserve">омунального підприємства </w:t>
      </w:r>
    </w:p>
    <w:p w:rsidR="00092927" w:rsidRPr="00486DFA" w:rsidRDefault="00092927" w:rsidP="00486DFA">
      <w:pPr>
        <w:shd w:val="clear" w:color="auto" w:fill="FFFFFF"/>
        <w:spacing w:after="0"/>
        <w:jc w:val="center"/>
        <w:textAlignment w:val="baseline"/>
        <w:rPr>
          <w:rFonts w:ascii="Times New Roman" w:hAnsi="Times New Roman"/>
          <w:color w:val="444444"/>
          <w:sz w:val="28"/>
          <w:szCs w:val="28"/>
          <w:lang w:val="uk-UA"/>
        </w:rPr>
      </w:pPr>
      <w:r w:rsidRPr="00486DFA">
        <w:rPr>
          <w:rFonts w:ascii="Times New Roman" w:hAnsi="Times New Roman"/>
          <w:bCs/>
          <w:color w:val="444444"/>
          <w:sz w:val="28"/>
          <w:szCs w:val="28"/>
          <w:lang w:val="uk-UA"/>
        </w:rPr>
        <w:t xml:space="preserve">НМР «Агенція місцевого розвитку» </w:t>
      </w:r>
      <w:r w:rsidR="00DB3A67" w:rsidRPr="00486DFA">
        <w:rPr>
          <w:rFonts w:ascii="Times New Roman" w:hAnsi="Times New Roman"/>
          <w:bCs/>
          <w:color w:val="444444"/>
          <w:sz w:val="28"/>
          <w:szCs w:val="28"/>
          <w:lang w:val="uk-UA"/>
        </w:rPr>
        <w:t>за 2022 рік</w:t>
      </w:r>
    </w:p>
    <w:p w:rsidR="00092927" w:rsidRPr="00486DFA" w:rsidRDefault="00092927" w:rsidP="00486DFA">
      <w:pPr>
        <w:spacing w:after="0"/>
        <w:jc w:val="both"/>
        <w:rPr>
          <w:rFonts w:ascii="Times New Roman" w:hAnsi="Times New Roman"/>
          <w:sz w:val="28"/>
          <w:szCs w:val="28"/>
          <w:lang w:val="uk-UA"/>
        </w:rPr>
      </w:pPr>
    </w:p>
    <w:p w:rsidR="00092927" w:rsidRPr="00486DFA" w:rsidRDefault="00092927" w:rsidP="00486DFA">
      <w:pPr>
        <w:spacing w:after="0"/>
        <w:ind w:firstLine="567"/>
        <w:jc w:val="both"/>
        <w:rPr>
          <w:rFonts w:ascii="Times New Roman" w:hAnsi="Times New Roman"/>
          <w:sz w:val="28"/>
          <w:szCs w:val="28"/>
          <w:lang w:val="uk-UA"/>
        </w:rPr>
      </w:pPr>
      <w:r w:rsidRPr="00486DFA">
        <w:rPr>
          <w:rFonts w:ascii="Times New Roman" w:hAnsi="Times New Roman"/>
          <w:sz w:val="28"/>
          <w:szCs w:val="28"/>
          <w:lang w:val="uk-UA"/>
        </w:rPr>
        <w:t>КП НМР « Агенція місцевого розвитку» здійснює свою діяльність згідно статуту КП НМР «Агенція місцевого розвитку», який затверджений  рішення</w:t>
      </w:r>
      <w:r w:rsidR="00972151" w:rsidRPr="00486DFA">
        <w:rPr>
          <w:rFonts w:ascii="Times New Roman" w:hAnsi="Times New Roman"/>
          <w:sz w:val="28"/>
          <w:szCs w:val="28"/>
          <w:lang w:val="uk-UA"/>
        </w:rPr>
        <w:t>м</w:t>
      </w:r>
      <w:r w:rsidRPr="00486DFA">
        <w:rPr>
          <w:rFonts w:ascii="Times New Roman" w:hAnsi="Times New Roman"/>
          <w:sz w:val="28"/>
          <w:szCs w:val="28"/>
          <w:lang w:val="uk-UA"/>
        </w:rPr>
        <w:t xml:space="preserve"> </w:t>
      </w:r>
      <w:r w:rsidR="00BA4F18" w:rsidRPr="00486DFA">
        <w:rPr>
          <w:rFonts w:ascii="Times New Roman" w:hAnsi="Times New Roman"/>
          <w:sz w:val="28"/>
          <w:szCs w:val="28"/>
          <w:lang w:val="uk-UA"/>
        </w:rPr>
        <w:t>п’ятдесят</w:t>
      </w:r>
      <w:r w:rsidRPr="00486DFA">
        <w:rPr>
          <w:rFonts w:ascii="Times New Roman" w:hAnsi="Times New Roman"/>
          <w:sz w:val="28"/>
          <w:szCs w:val="28"/>
          <w:lang w:val="uk-UA"/>
        </w:rPr>
        <w:t xml:space="preserve"> другої  сесії Нетішинської міської ради  VІІ скликання від 01 березня 2019 року №52/3513 "Про  збільшення розміру статутного капіталу та затвердження статуту комунального підприємства Нетішинської міської ради "Агенція місцевого розвитку". </w:t>
      </w:r>
    </w:p>
    <w:p w:rsidR="003459AD" w:rsidRPr="00486DFA" w:rsidRDefault="00092927" w:rsidP="00486DFA">
      <w:pPr>
        <w:spacing w:after="0"/>
        <w:ind w:firstLine="567"/>
        <w:jc w:val="both"/>
        <w:rPr>
          <w:rFonts w:ascii="Times New Roman" w:hAnsi="Times New Roman"/>
          <w:sz w:val="28"/>
          <w:szCs w:val="28"/>
          <w:lang w:val="uk-UA"/>
        </w:rPr>
      </w:pPr>
      <w:r w:rsidRPr="00486DFA">
        <w:rPr>
          <w:rFonts w:ascii="Times New Roman" w:hAnsi="Times New Roman"/>
          <w:sz w:val="28"/>
          <w:szCs w:val="28"/>
          <w:lang w:val="uk-UA"/>
        </w:rPr>
        <w:t>Діє в рамках програми «Пріоритетів розвитку гром</w:t>
      </w:r>
      <w:r w:rsidR="00320103" w:rsidRPr="00486DFA">
        <w:rPr>
          <w:rFonts w:ascii="Times New Roman" w:hAnsi="Times New Roman"/>
          <w:sz w:val="28"/>
          <w:szCs w:val="28"/>
          <w:lang w:val="uk-UA"/>
        </w:rPr>
        <w:t>адського суспільства, соціо</w:t>
      </w:r>
      <w:r w:rsidRPr="00486DFA">
        <w:rPr>
          <w:rFonts w:ascii="Times New Roman" w:hAnsi="Times New Roman"/>
          <w:sz w:val="28"/>
          <w:szCs w:val="28"/>
          <w:lang w:val="uk-UA"/>
        </w:rPr>
        <w:t>культурного простору, та сприятливого клімату для залучення донорських коштів, спрямованих на розвиток громади» на 20</w:t>
      </w:r>
      <w:r w:rsidR="003459AD" w:rsidRPr="00486DFA">
        <w:rPr>
          <w:rFonts w:ascii="Times New Roman" w:hAnsi="Times New Roman"/>
          <w:sz w:val="28"/>
          <w:szCs w:val="28"/>
          <w:lang w:val="uk-UA"/>
        </w:rPr>
        <w:t>21</w:t>
      </w:r>
      <w:r w:rsidRPr="00486DFA">
        <w:rPr>
          <w:rFonts w:ascii="Times New Roman" w:hAnsi="Times New Roman"/>
          <w:sz w:val="28"/>
          <w:szCs w:val="28"/>
          <w:lang w:val="uk-UA"/>
        </w:rPr>
        <w:t>-20</w:t>
      </w:r>
      <w:r w:rsidR="003459AD" w:rsidRPr="00486DFA">
        <w:rPr>
          <w:rFonts w:ascii="Times New Roman" w:hAnsi="Times New Roman"/>
          <w:sz w:val="28"/>
          <w:szCs w:val="28"/>
          <w:lang w:val="uk-UA"/>
        </w:rPr>
        <w:t>22</w:t>
      </w:r>
      <w:r w:rsidRPr="00486DFA">
        <w:rPr>
          <w:rFonts w:ascii="Times New Roman" w:hAnsi="Times New Roman"/>
          <w:sz w:val="28"/>
          <w:szCs w:val="28"/>
          <w:lang w:val="uk-UA"/>
        </w:rPr>
        <w:t xml:space="preserve"> роки, яка затверджена </w:t>
      </w:r>
      <w:r w:rsidR="00C3697C" w:rsidRPr="00486DFA">
        <w:rPr>
          <w:rFonts w:ascii="Times New Roman" w:hAnsi="Times New Roman"/>
          <w:sz w:val="28"/>
          <w:szCs w:val="28"/>
          <w:lang w:val="uk-UA"/>
        </w:rPr>
        <w:t>рішенням четвертої</w:t>
      </w:r>
      <w:r w:rsidR="00DB3A67" w:rsidRPr="00486DFA">
        <w:rPr>
          <w:rFonts w:ascii="Times New Roman" w:hAnsi="Times New Roman"/>
          <w:sz w:val="28"/>
          <w:szCs w:val="28"/>
          <w:lang w:val="uk-UA"/>
        </w:rPr>
        <w:t xml:space="preserve"> </w:t>
      </w:r>
      <w:r w:rsidRPr="00486DFA">
        <w:rPr>
          <w:rFonts w:ascii="Times New Roman" w:hAnsi="Times New Roman"/>
          <w:sz w:val="28"/>
          <w:szCs w:val="28"/>
          <w:lang w:val="uk-UA"/>
        </w:rPr>
        <w:t>сесії Нетішинської міської ради VII</w:t>
      </w:r>
      <w:r w:rsidR="00C3697C" w:rsidRPr="00486DFA">
        <w:rPr>
          <w:rFonts w:ascii="Times New Roman" w:hAnsi="Times New Roman"/>
          <w:sz w:val="28"/>
          <w:szCs w:val="28"/>
          <w:lang w:val="uk-UA"/>
        </w:rPr>
        <w:t>І</w:t>
      </w:r>
      <w:r w:rsidRPr="00486DFA">
        <w:rPr>
          <w:rFonts w:ascii="Times New Roman" w:hAnsi="Times New Roman"/>
          <w:sz w:val="28"/>
          <w:szCs w:val="28"/>
          <w:lang w:val="uk-UA"/>
        </w:rPr>
        <w:t xml:space="preserve"> скликання</w:t>
      </w:r>
      <w:r w:rsidR="00DB3A67" w:rsidRPr="00486DFA">
        <w:rPr>
          <w:rFonts w:ascii="Times New Roman" w:hAnsi="Times New Roman"/>
          <w:sz w:val="28"/>
          <w:szCs w:val="28"/>
          <w:lang w:val="uk-UA"/>
        </w:rPr>
        <w:t xml:space="preserve"> від </w:t>
      </w:r>
      <w:r w:rsidR="00DB3A67" w:rsidRPr="00486DFA">
        <w:rPr>
          <w:rFonts w:ascii="Times New Roman" w:hAnsi="Times New Roman"/>
          <w:sz w:val="28"/>
          <w:szCs w:val="28"/>
          <w:lang w:val="uk-UA"/>
        </w:rPr>
        <w:t>23.12.2020 року № 4/181</w:t>
      </w:r>
      <w:r w:rsidR="003459AD" w:rsidRPr="00486DFA">
        <w:rPr>
          <w:rFonts w:ascii="Times New Roman" w:hAnsi="Times New Roman"/>
          <w:sz w:val="28"/>
          <w:szCs w:val="28"/>
          <w:lang w:val="uk-UA"/>
        </w:rPr>
        <w:t>.</w:t>
      </w:r>
    </w:p>
    <w:p w:rsidR="00092927" w:rsidRPr="00486DFA" w:rsidRDefault="00092927" w:rsidP="00486DFA">
      <w:pPr>
        <w:spacing w:after="0"/>
        <w:ind w:firstLine="567"/>
        <w:jc w:val="both"/>
        <w:rPr>
          <w:rFonts w:ascii="Times New Roman" w:hAnsi="Times New Roman"/>
          <w:sz w:val="28"/>
          <w:szCs w:val="28"/>
          <w:lang w:val="uk-UA"/>
        </w:rPr>
      </w:pPr>
      <w:r w:rsidRPr="00486DFA">
        <w:rPr>
          <w:rFonts w:ascii="Times New Roman" w:hAnsi="Times New Roman"/>
          <w:sz w:val="28"/>
          <w:szCs w:val="28"/>
          <w:lang w:val="uk-UA"/>
        </w:rPr>
        <w:t xml:space="preserve">Підприємство засноване на комунальній формі власності </w:t>
      </w:r>
      <w:r w:rsidR="00C31A29" w:rsidRPr="00486DFA">
        <w:rPr>
          <w:rFonts w:ascii="Times New Roman" w:hAnsi="Times New Roman"/>
          <w:sz w:val="28"/>
          <w:szCs w:val="28"/>
          <w:lang w:val="uk-UA"/>
        </w:rPr>
        <w:t xml:space="preserve">Нетішинської міської </w:t>
      </w:r>
      <w:r w:rsidRPr="00486DFA">
        <w:rPr>
          <w:rFonts w:ascii="Times New Roman" w:hAnsi="Times New Roman"/>
          <w:sz w:val="28"/>
          <w:szCs w:val="28"/>
          <w:lang w:val="uk-UA"/>
        </w:rPr>
        <w:t>територіальної громади і входить до сфери управ</w:t>
      </w:r>
      <w:r w:rsidR="00E21C7F" w:rsidRPr="00486DFA">
        <w:rPr>
          <w:rFonts w:ascii="Times New Roman" w:hAnsi="Times New Roman"/>
          <w:sz w:val="28"/>
          <w:szCs w:val="28"/>
          <w:lang w:val="uk-UA"/>
        </w:rPr>
        <w:t>ління Нетішинської міської ради</w:t>
      </w:r>
      <w:r w:rsidRPr="00486DFA">
        <w:rPr>
          <w:rFonts w:ascii="Times New Roman" w:hAnsi="Times New Roman"/>
          <w:sz w:val="28"/>
          <w:szCs w:val="28"/>
          <w:lang w:val="uk-UA"/>
        </w:rPr>
        <w:t>, діє відповідно до Господарського кодексу України, Цивільного кодексу України, інших нормативно - правових актів .</w:t>
      </w:r>
    </w:p>
    <w:p w:rsidR="00092927" w:rsidRPr="00486DFA" w:rsidRDefault="00092927" w:rsidP="00486DFA">
      <w:pPr>
        <w:shd w:val="clear" w:color="auto" w:fill="FFFFFF"/>
        <w:spacing w:after="0"/>
        <w:ind w:firstLine="567"/>
        <w:jc w:val="both"/>
        <w:textAlignment w:val="baseline"/>
        <w:rPr>
          <w:rFonts w:ascii="Times New Roman" w:hAnsi="Times New Roman"/>
          <w:sz w:val="28"/>
          <w:szCs w:val="28"/>
          <w:lang w:val="uk-UA"/>
        </w:rPr>
      </w:pPr>
      <w:r w:rsidRPr="00486DFA">
        <w:rPr>
          <w:rFonts w:ascii="Times New Roman" w:hAnsi="Times New Roman"/>
          <w:sz w:val="28"/>
          <w:szCs w:val="28"/>
          <w:lang w:val="uk-UA"/>
        </w:rPr>
        <w:t>Фінансове забезпечення  та  фінансові показники діяльності підприємства у 202</w:t>
      </w:r>
      <w:r w:rsidR="00B01166" w:rsidRPr="00486DFA">
        <w:rPr>
          <w:rFonts w:ascii="Times New Roman" w:hAnsi="Times New Roman"/>
          <w:sz w:val="28"/>
          <w:szCs w:val="28"/>
          <w:lang w:val="uk-UA"/>
        </w:rPr>
        <w:t>2</w:t>
      </w:r>
      <w:r w:rsidR="00BA4F18" w:rsidRPr="00486DFA">
        <w:rPr>
          <w:rFonts w:ascii="Times New Roman" w:hAnsi="Times New Roman"/>
          <w:sz w:val="28"/>
          <w:szCs w:val="28"/>
          <w:lang w:val="uk-UA"/>
        </w:rPr>
        <w:t xml:space="preserve"> році становлять</w:t>
      </w:r>
      <w:r w:rsidRPr="00486DFA">
        <w:rPr>
          <w:rFonts w:ascii="Times New Roman" w:hAnsi="Times New Roman"/>
          <w:sz w:val="28"/>
          <w:szCs w:val="28"/>
          <w:lang w:val="uk-UA"/>
        </w:rPr>
        <w:t>:</w:t>
      </w:r>
    </w:p>
    <w:p w:rsidR="00DB3A67" w:rsidRPr="00486DFA" w:rsidRDefault="00DB3A67" w:rsidP="00486DFA">
      <w:pPr>
        <w:spacing w:after="0"/>
        <w:rPr>
          <w:rFonts w:ascii="Times New Roman" w:hAnsi="Times New Roman"/>
          <w:b/>
          <w:sz w:val="28"/>
          <w:szCs w:val="28"/>
          <w:lang w:val="uk-UA"/>
        </w:rPr>
      </w:pPr>
    </w:p>
    <w:p w:rsidR="00092927" w:rsidRPr="00486DFA" w:rsidRDefault="00092927" w:rsidP="00486DFA">
      <w:pPr>
        <w:spacing w:after="0"/>
        <w:jc w:val="center"/>
        <w:rPr>
          <w:rFonts w:ascii="Times New Roman" w:hAnsi="Times New Roman"/>
          <w:b/>
          <w:sz w:val="28"/>
          <w:szCs w:val="28"/>
          <w:lang w:val="uk-UA"/>
        </w:rPr>
      </w:pPr>
      <w:r w:rsidRPr="00486DFA">
        <w:rPr>
          <w:rFonts w:ascii="Times New Roman" w:hAnsi="Times New Roman"/>
          <w:b/>
          <w:sz w:val="28"/>
          <w:szCs w:val="28"/>
          <w:lang w:val="uk-UA"/>
        </w:rPr>
        <w:t>ДОХОДИ:</w:t>
      </w:r>
      <w:r w:rsidRPr="00486DFA">
        <w:rPr>
          <w:rFonts w:ascii="Times New Roman" w:hAnsi="Times New Roman"/>
          <w:b/>
          <w:sz w:val="28"/>
          <w:szCs w:val="28"/>
          <w:lang w:val="uk-UA"/>
        </w:rPr>
        <w:tab/>
      </w:r>
      <w:r w:rsidRPr="00486DFA">
        <w:rPr>
          <w:rFonts w:ascii="Times New Roman" w:hAnsi="Times New Roman"/>
          <w:b/>
          <w:sz w:val="28"/>
          <w:szCs w:val="28"/>
          <w:lang w:val="uk-UA"/>
        </w:rPr>
        <w:tab/>
      </w:r>
      <w:r w:rsidRPr="00486DFA">
        <w:rPr>
          <w:rFonts w:ascii="Times New Roman" w:hAnsi="Times New Roman"/>
          <w:b/>
          <w:sz w:val="28"/>
          <w:szCs w:val="28"/>
          <w:lang w:val="uk-UA"/>
        </w:rPr>
        <w:tab/>
      </w:r>
      <w:r w:rsidRPr="00486DFA">
        <w:rPr>
          <w:rFonts w:ascii="Times New Roman" w:hAnsi="Times New Roman"/>
          <w:b/>
          <w:sz w:val="28"/>
          <w:szCs w:val="28"/>
          <w:lang w:val="uk-UA"/>
        </w:rPr>
        <w:tab/>
      </w:r>
      <w:r w:rsidRPr="00486DFA">
        <w:rPr>
          <w:rFonts w:ascii="Times New Roman" w:hAnsi="Times New Roman"/>
          <w:b/>
          <w:sz w:val="28"/>
          <w:szCs w:val="28"/>
          <w:lang w:val="uk-UA"/>
        </w:rPr>
        <w:tab/>
      </w:r>
      <w:r w:rsidRPr="00486DFA">
        <w:rPr>
          <w:rFonts w:ascii="Times New Roman" w:hAnsi="Times New Roman"/>
          <w:b/>
          <w:sz w:val="28"/>
          <w:szCs w:val="28"/>
          <w:lang w:val="uk-UA"/>
        </w:rPr>
        <w:tab/>
      </w:r>
      <w:r w:rsidRPr="00486DFA">
        <w:rPr>
          <w:rFonts w:ascii="Times New Roman" w:hAnsi="Times New Roman"/>
          <w:b/>
          <w:sz w:val="28"/>
          <w:szCs w:val="28"/>
          <w:lang w:val="uk-UA"/>
        </w:rPr>
        <w:tab/>
      </w:r>
      <w:r w:rsidRPr="00486DFA">
        <w:rPr>
          <w:rFonts w:ascii="Times New Roman" w:hAnsi="Times New Roman"/>
          <w:b/>
          <w:sz w:val="28"/>
          <w:szCs w:val="28"/>
          <w:lang w:val="uk-UA"/>
        </w:rPr>
        <w:tab/>
      </w:r>
      <w:r w:rsidRPr="00486DFA">
        <w:rPr>
          <w:rFonts w:ascii="Times New Roman" w:hAnsi="Times New Roman"/>
          <w:b/>
          <w:sz w:val="28"/>
          <w:szCs w:val="28"/>
          <w:lang w:val="uk-UA"/>
        </w:rPr>
        <w:tab/>
      </w:r>
      <w:r w:rsidRPr="00486DFA">
        <w:rPr>
          <w:rFonts w:ascii="Times New Roman" w:hAnsi="Times New Roman"/>
          <w:b/>
          <w:sz w:val="28"/>
          <w:szCs w:val="28"/>
          <w:lang w:val="uk-UA"/>
        </w:rPr>
        <w:tab/>
      </w:r>
      <w:r w:rsidRPr="00486DFA">
        <w:rPr>
          <w:rFonts w:ascii="Times New Roman" w:hAnsi="Times New Roman"/>
          <w:b/>
          <w:sz w:val="28"/>
          <w:szCs w:val="28"/>
          <w:lang w:val="uk-UA"/>
        </w:rPr>
        <w:tab/>
      </w:r>
      <w:r w:rsidR="00DB3A67" w:rsidRPr="00486DFA">
        <w:rPr>
          <w:rFonts w:ascii="Times New Roman" w:hAnsi="Times New Roman"/>
          <w:sz w:val="28"/>
          <w:szCs w:val="28"/>
          <w:lang w:val="uk-UA"/>
        </w:rPr>
        <w:t>тис. грн</w:t>
      </w:r>
    </w:p>
    <w:tbl>
      <w:tblPr>
        <w:tblW w:w="972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1"/>
        <w:gridCol w:w="1209"/>
        <w:gridCol w:w="3995"/>
        <w:gridCol w:w="1281"/>
        <w:gridCol w:w="1191"/>
        <w:gridCol w:w="1372"/>
      </w:tblGrid>
      <w:tr w:rsidR="00092927" w:rsidRPr="00486DFA" w:rsidTr="000B52A0">
        <w:trPr>
          <w:trHeight w:val="20"/>
        </w:trPr>
        <w:tc>
          <w:tcPr>
            <w:tcW w:w="681" w:type="dxa"/>
          </w:tcPr>
          <w:p w:rsidR="00DB3A67" w:rsidRPr="00486DFA" w:rsidRDefault="00092927" w:rsidP="005A6BCD">
            <w:pPr>
              <w:spacing w:after="0"/>
              <w:ind w:left="-108" w:right="-110"/>
              <w:jc w:val="center"/>
              <w:rPr>
                <w:rFonts w:ascii="Times New Roman" w:hAnsi="Times New Roman"/>
                <w:sz w:val="26"/>
                <w:szCs w:val="26"/>
                <w:lang w:val="uk-UA"/>
              </w:rPr>
            </w:pPr>
            <w:r w:rsidRPr="00486DFA">
              <w:rPr>
                <w:rFonts w:ascii="Times New Roman" w:hAnsi="Times New Roman"/>
                <w:sz w:val="26"/>
                <w:szCs w:val="26"/>
                <w:lang w:val="uk-UA"/>
              </w:rPr>
              <w:t>№</w:t>
            </w:r>
          </w:p>
          <w:p w:rsidR="00092927" w:rsidRPr="00486DFA" w:rsidRDefault="00092927" w:rsidP="005A6BCD">
            <w:pPr>
              <w:spacing w:after="0"/>
              <w:ind w:left="-108" w:right="-110"/>
              <w:jc w:val="center"/>
              <w:rPr>
                <w:rFonts w:ascii="Times New Roman" w:hAnsi="Times New Roman"/>
                <w:sz w:val="26"/>
                <w:szCs w:val="26"/>
                <w:lang w:val="uk-UA"/>
              </w:rPr>
            </w:pPr>
            <w:r w:rsidRPr="00486DFA">
              <w:rPr>
                <w:rFonts w:ascii="Times New Roman" w:hAnsi="Times New Roman"/>
                <w:sz w:val="26"/>
                <w:szCs w:val="26"/>
                <w:lang w:val="uk-UA"/>
              </w:rPr>
              <w:t>з/п</w:t>
            </w:r>
          </w:p>
        </w:tc>
        <w:tc>
          <w:tcPr>
            <w:tcW w:w="5204" w:type="dxa"/>
            <w:gridSpan w:val="2"/>
          </w:tcPr>
          <w:p w:rsidR="00092927" w:rsidRPr="00486DFA" w:rsidRDefault="00092927"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Стаття доходів</w:t>
            </w:r>
          </w:p>
        </w:tc>
        <w:tc>
          <w:tcPr>
            <w:tcW w:w="1281" w:type="dxa"/>
          </w:tcPr>
          <w:p w:rsidR="000B52A0" w:rsidRPr="00486DFA" w:rsidRDefault="00092927" w:rsidP="00486DFA">
            <w:pPr>
              <w:spacing w:after="0"/>
              <w:ind w:left="-88" w:right="-97"/>
              <w:jc w:val="center"/>
              <w:rPr>
                <w:rFonts w:ascii="Times New Roman" w:hAnsi="Times New Roman"/>
                <w:sz w:val="26"/>
                <w:szCs w:val="26"/>
                <w:lang w:val="uk-UA"/>
              </w:rPr>
            </w:pPr>
            <w:r w:rsidRPr="00486DFA">
              <w:rPr>
                <w:rFonts w:ascii="Times New Roman" w:hAnsi="Times New Roman"/>
                <w:sz w:val="26"/>
                <w:szCs w:val="26"/>
                <w:lang w:val="uk-UA"/>
              </w:rPr>
              <w:t>План</w:t>
            </w:r>
          </w:p>
          <w:p w:rsidR="00092927" w:rsidRPr="00486DFA" w:rsidRDefault="00092927" w:rsidP="00486DFA">
            <w:pPr>
              <w:spacing w:after="0"/>
              <w:ind w:left="-88" w:right="-97"/>
              <w:jc w:val="center"/>
              <w:rPr>
                <w:rFonts w:ascii="Times New Roman" w:hAnsi="Times New Roman"/>
                <w:sz w:val="26"/>
                <w:szCs w:val="26"/>
                <w:lang w:val="uk-UA"/>
              </w:rPr>
            </w:pPr>
            <w:r w:rsidRPr="00486DFA">
              <w:rPr>
                <w:rFonts w:ascii="Times New Roman" w:hAnsi="Times New Roman"/>
                <w:sz w:val="26"/>
                <w:szCs w:val="26"/>
                <w:lang w:val="uk-UA"/>
              </w:rPr>
              <w:t>202</w:t>
            </w:r>
            <w:r w:rsidR="00B01166" w:rsidRPr="00486DFA">
              <w:rPr>
                <w:rFonts w:ascii="Times New Roman" w:hAnsi="Times New Roman"/>
                <w:sz w:val="26"/>
                <w:szCs w:val="26"/>
                <w:lang w:val="uk-UA"/>
              </w:rPr>
              <w:t>2</w:t>
            </w:r>
            <w:r w:rsidR="000B52A0" w:rsidRPr="00486DFA">
              <w:rPr>
                <w:rFonts w:ascii="Times New Roman" w:hAnsi="Times New Roman"/>
                <w:sz w:val="26"/>
                <w:szCs w:val="26"/>
                <w:lang w:val="uk-UA"/>
              </w:rPr>
              <w:t xml:space="preserve"> </w:t>
            </w:r>
            <w:r w:rsidRPr="00486DFA">
              <w:rPr>
                <w:rFonts w:ascii="Times New Roman" w:hAnsi="Times New Roman"/>
                <w:sz w:val="26"/>
                <w:szCs w:val="26"/>
                <w:lang w:val="uk-UA"/>
              </w:rPr>
              <w:t>рік</w:t>
            </w:r>
          </w:p>
        </w:tc>
        <w:tc>
          <w:tcPr>
            <w:tcW w:w="1191" w:type="dxa"/>
          </w:tcPr>
          <w:p w:rsidR="00092927" w:rsidRPr="00486DFA" w:rsidRDefault="00092927" w:rsidP="00486DFA">
            <w:pPr>
              <w:spacing w:after="0"/>
              <w:ind w:left="-88" w:right="-97"/>
              <w:jc w:val="center"/>
              <w:rPr>
                <w:rFonts w:ascii="Times New Roman" w:hAnsi="Times New Roman"/>
                <w:sz w:val="26"/>
                <w:szCs w:val="26"/>
                <w:lang w:val="uk-UA"/>
              </w:rPr>
            </w:pPr>
            <w:r w:rsidRPr="00486DFA">
              <w:rPr>
                <w:rFonts w:ascii="Times New Roman" w:hAnsi="Times New Roman"/>
                <w:sz w:val="26"/>
                <w:szCs w:val="26"/>
                <w:lang w:val="uk-UA"/>
              </w:rPr>
              <w:t>Факт</w:t>
            </w:r>
          </w:p>
          <w:p w:rsidR="00092927" w:rsidRPr="00486DFA" w:rsidRDefault="00092927" w:rsidP="00486DFA">
            <w:pPr>
              <w:spacing w:after="0"/>
              <w:ind w:left="-88" w:right="-97"/>
              <w:jc w:val="center"/>
              <w:rPr>
                <w:rFonts w:ascii="Times New Roman" w:hAnsi="Times New Roman"/>
                <w:sz w:val="26"/>
                <w:szCs w:val="26"/>
                <w:lang w:val="uk-UA"/>
              </w:rPr>
            </w:pPr>
            <w:r w:rsidRPr="00486DFA">
              <w:rPr>
                <w:rFonts w:ascii="Times New Roman" w:hAnsi="Times New Roman"/>
                <w:sz w:val="26"/>
                <w:szCs w:val="26"/>
                <w:lang w:val="uk-UA"/>
              </w:rPr>
              <w:t>202</w:t>
            </w:r>
            <w:r w:rsidR="00B01166" w:rsidRPr="00486DFA">
              <w:rPr>
                <w:rFonts w:ascii="Times New Roman" w:hAnsi="Times New Roman"/>
                <w:sz w:val="26"/>
                <w:szCs w:val="26"/>
                <w:lang w:val="uk-UA"/>
              </w:rPr>
              <w:t>2</w:t>
            </w:r>
            <w:r w:rsidRPr="00486DFA">
              <w:rPr>
                <w:rFonts w:ascii="Times New Roman" w:hAnsi="Times New Roman"/>
                <w:sz w:val="26"/>
                <w:szCs w:val="26"/>
                <w:lang w:val="uk-UA"/>
              </w:rPr>
              <w:t xml:space="preserve"> року</w:t>
            </w:r>
          </w:p>
        </w:tc>
        <w:tc>
          <w:tcPr>
            <w:tcW w:w="1372" w:type="dxa"/>
          </w:tcPr>
          <w:p w:rsidR="00092927" w:rsidRPr="00486DFA" w:rsidRDefault="00092927" w:rsidP="00486DFA">
            <w:pPr>
              <w:spacing w:after="0"/>
              <w:ind w:left="-88" w:right="-97"/>
              <w:jc w:val="center"/>
              <w:rPr>
                <w:rFonts w:ascii="Times New Roman" w:hAnsi="Times New Roman"/>
                <w:sz w:val="26"/>
                <w:szCs w:val="26"/>
                <w:lang w:val="uk-UA"/>
              </w:rPr>
            </w:pPr>
            <w:r w:rsidRPr="00486DFA">
              <w:rPr>
                <w:rFonts w:ascii="Times New Roman" w:hAnsi="Times New Roman"/>
                <w:sz w:val="26"/>
                <w:szCs w:val="26"/>
                <w:lang w:val="uk-UA"/>
              </w:rPr>
              <w:t>відхилення,  +/–</w:t>
            </w:r>
          </w:p>
        </w:tc>
      </w:tr>
      <w:tr w:rsidR="00092927" w:rsidRPr="00486DFA" w:rsidTr="000B52A0">
        <w:trPr>
          <w:trHeight w:val="20"/>
        </w:trPr>
        <w:tc>
          <w:tcPr>
            <w:tcW w:w="681" w:type="dxa"/>
          </w:tcPr>
          <w:p w:rsidR="00092927" w:rsidRPr="00486DFA" w:rsidRDefault="00092927" w:rsidP="005A6BCD">
            <w:pPr>
              <w:spacing w:after="0"/>
              <w:ind w:left="-108" w:right="-110"/>
              <w:jc w:val="center"/>
              <w:rPr>
                <w:rFonts w:ascii="Times New Roman" w:hAnsi="Times New Roman"/>
                <w:sz w:val="26"/>
                <w:szCs w:val="26"/>
                <w:lang w:val="uk-UA"/>
              </w:rPr>
            </w:pPr>
            <w:r w:rsidRPr="00486DFA">
              <w:rPr>
                <w:rFonts w:ascii="Times New Roman" w:hAnsi="Times New Roman"/>
                <w:sz w:val="26"/>
                <w:szCs w:val="26"/>
                <w:lang w:val="uk-UA"/>
              </w:rPr>
              <w:t>1</w:t>
            </w:r>
            <w:r w:rsidR="00DB3A67" w:rsidRPr="00486DFA">
              <w:rPr>
                <w:rFonts w:ascii="Times New Roman" w:hAnsi="Times New Roman"/>
                <w:sz w:val="26"/>
                <w:szCs w:val="26"/>
                <w:lang w:val="uk-UA"/>
              </w:rPr>
              <w:t>.</w:t>
            </w:r>
          </w:p>
        </w:tc>
        <w:tc>
          <w:tcPr>
            <w:tcW w:w="5204" w:type="dxa"/>
            <w:gridSpan w:val="2"/>
          </w:tcPr>
          <w:p w:rsidR="00092927" w:rsidRPr="00486DFA" w:rsidRDefault="00DB3A67" w:rsidP="00486DFA">
            <w:pPr>
              <w:spacing w:after="0"/>
              <w:jc w:val="both"/>
              <w:rPr>
                <w:rFonts w:ascii="Times New Roman" w:hAnsi="Times New Roman"/>
                <w:sz w:val="26"/>
                <w:szCs w:val="26"/>
                <w:lang w:val="uk-UA"/>
              </w:rPr>
            </w:pPr>
            <w:r w:rsidRPr="00486DFA">
              <w:rPr>
                <w:rFonts w:ascii="Times New Roman" w:hAnsi="Times New Roman"/>
                <w:sz w:val="26"/>
                <w:szCs w:val="26"/>
                <w:lang w:val="uk-UA"/>
              </w:rPr>
              <w:t xml:space="preserve">Фінансування згідно </w:t>
            </w:r>
            <w:r w:rsidR="00092927" w:rsidRPr="00486DFA">
              <w:rPr>
                <w:rFonts w:ascii="Times New Roman" w:hAnsi="Times New Roman"/>
                <w:sz w:val="26"/>
                <w:szCs w:val="26"/>
                <w:lang w:val="uk-UA"/>
              </w:rPr>
              <w:t>ПРОГРАМИ «Пріоритетів розвитку громадського суспільства, соці</w:t>
            </w:r>
            <w:r w:rsidR="000A3FB4" w:rsidRPr="00486DFA">
              <w:rPr>
                <w:rFonts w:ascii="Times New Roman" w:hAnsi="Times New Roman"/>
                <w:sz w:val="26"/>
                <w:szCs w:val="26"/>
                <w:lang w:val="uk-UA"/>
              </w:rPr>
              <w:t>о</w:t>
            </w:r>
            <w:r w:rsidR="00092927" w:rsidRPr="00486DFA">
              <w:rPr>
                <w:rFonts w:ascii="Times New Roman" w:hAnsi="Times New Roman"/>
                <w:sz w:val="26"/>
                <w:szCs w:val="26"/>
                <w:lang w:val="uk-UA"/>
              </w:rPr>
              <w:t>культурного простору, та сприятливого клімату для залучення донорських коштів, спрямованих на розвиток громади» на 20</w:t>
            </w:r>
            <w:r w:rsidR="00E21C7F" w:rsidRPr="00486DFA">
              <w:rPr>
                <w:rFonts w:ascii="Times New Roman" w:hAnsi="Times New Roman"/>
                <w:sz w:val="26"/>
                <w:szCs w:val="26"/>
                <w:lang w:val="uk-UA"/>
              </w:rPr>
              <w:t>2</w:t>
            </w:r>
            <w:r w:rsidR="003459AD" w:rsidRPr="00486DFA">
              <w:rPr>
                <w:rFonts w:ascii="Times New Roman" w:hAnsi="Times New Roman"/>
                <w:sz w:val="26"/>
                <w:szCs w:val="26"/>
                <w:lang w:val="uk-UA"/>
              </w:rPr>
              <w:t>1</w:t>
            </w:r>
            <w:r w:rsidR="00092927" w:rsidRPr="00486DFA">
              <w:rPr>
                <w:rFonts w:ascii="Times New Roman" w:hAnsi="Times New Roman"/>
                <w:sz w:val="26"/>
                <w:szCs w:val="26"/>
                <w:lang w:val="uk-UA"/>
              </w:rPr>
              <w:t>-202</w:t>
            </w:r>
            <w:r w:rsidR="00E21C7F" w:rsidRPr="00486DFA">
              <w:rPr>
                <w:rFonts w:ascii="Times New Roman" w:hAnsi="Times New Roman"/>
                <w:sz w:val="26"/>
                <w:szCs w:val="26"/>
                <w:lang w:val="uk-UA"/>
              </w:rPr>
              <w:t>2</w:t>
            </w:r>
            <w:r w:rsidRPr="00486DFA">
              <w:rPr>
                <w:rFonts w:ascii="Times New Roman" w:hAnsi="Times New Roman"/>
                <w:sz w:val="26"/>
                <w:szCs w:val="26"/>
                <w:lang w:val="uk-UA"/>
              </w:rPr>
              <w:t xml:space="preserve"> роки</w:t>
            </w:r>
          </w:p>
        </w:tc>
        <w:tc>
          <w:tcPr>
            <w:tcW w:w="1281" w:type="dxa"/>
          </w:tcPr>
          <w:p w:rsidR="00092927" w:rsidRPr="00486DFA" w:rsidRDefault="00B01166"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1237,8</w:t>
            </w:r>
          </w:p>
        </w:tc>
        <w:tc>
          <w:tcPr>
            <w:tcW w:w="1191" w:type="dxa"/>
          </w:tcPr>
          <w:p w:rsidR="00092927" w:rsidRPr="00486DFA" w:rsidRDefault="00B01166"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1007,6</w:t>
            </w:r>
          </w:p>
        </w:tc>
        <w:tc>
          <w:tcPr>
            <w:tcW w:w="1372" w:type="dxa"/>
          </w:tcPr>
          <w:p w:rsidR="00092927" w:rsidRPr="00486DFA" w:rsidRDefault="003459AD"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w:t>
            </w:r>
            <w:r w:rsidR="00B01166" w:rsidRPr="00486DFA">
              <w:rPr>
                <w:rFonts w:ascii="Times New Roman" w:hAnsi="Times New Roman"/>
                <w:sz w:val="26"/>
                <w:szCs w:val="26"/>
                <w:lang w:val="uk-UA"/>
              </w:rPr>
              <w:t>230,2</w:t>
            </w:r>
          </w:p>
          <w:p w:rsidR="00B01166" w:rsidRPr="00486DFA" w:rsidRDefault="00B01166" w:rsidP="00486DFA">
            <w:pPr>
              <w:spacing w:after="0"/>
              <w:jc w:val="center"/>
              <w:rPr>
                <w:rFonts w:ascii="Times New Roman" w:hAnsi="Times New Roman"/>
                <w:sz w:val="26"/>
                <w:szCs w:val="26"/>
                <w:lang w:val="uk-UA"/>
              </w:rPr>
            </w:pPr>
          </w:p>
        </w:tc>
      </w:tr>
      <w:tr w:rsidR="00092927" w:rsidRPr="00486DFA" w:rsidTr="000B52A0">
        <w:trPr>
          <w:trHeight w:val="20"/>
        </w:trPr>
        <w:tc>
          <w:tcPr>
            <w:tcW w:w="681" w:type="dxa"/>
          </w:tcPr>
          <w:p w:rsidR="00092927" w:rsidRPr="00486DFA" w:rsidRDefault="00092927" w:rsidP="005A6BCD">
            <w:pPr>
              <w:spacing w:after="0"/>
              <w:ind w:left="-108" w:right="-110"/>
              <w:jc w:val="center"/>
              <w:rPr>
                <w:rFonts w:ascii="Times New Roman" w:hAnsi="Times New Roman"/>
                <w:sz w:val="26"/>
                <w:szCs w:val="26"/>
                <w:lang w:val="uk-UA"/>
              </w:rPr>
            </w:pPr>
            <w:r w:rsidRPr="00486DFA">
              <w:rPr>
                <w:rFonts w:ascii="Times New Roman" w:hAnsi="Times New Roman"/>
                <w:sz w:val="26"/>
                <w:szCs w:val="26"/>
                <w:lang w:val="uk-UA"/>
              </w:rPr>
              <w:t>2</w:t>
            </w:r>
            <w:r w:rsidR="00DB3A67" w:rsidRPr="00486DFA">
              <w:rPr>
                <w:rFonts w:ascii="Times New Roman" w:hAnsi="Times New Roman"/>
                <w:sz w:val="26"/>
                <w:szCs w:val="26"/>
                <w:lang w:val="uk-UA"/>
              </w:rPr>
              <w:t>.</w:t>
            </w:r>
          </w:p>
        </w:tc>
        <w:tc>
          <w:tcPr>
            <w:tcW w:w="5204" w:type="dxa"/>
            <w:gridSpan w:val="2"/>
          </w:tcPr>
          <w:p w:rsidR="00092927" w:rsidRPr="00486DFA" w:rsidRDefault="00DB3A67" w:rsidP="00486DFA">
            <w:pPr>
              <w:spacing w:after="0"/>
              <w:jc w:val="both"/>
              <w:rPr>
                <w:rFonts w:ascii="Times New Roman" w:hAnsi="Times New Roman"/>
                <w:sz w:val="26"/>
                <w:szCs w:val="26"/>
                <w:lang w:val="uk-UA"/>
              </w:rPr>
            </w:pPr>
            <w:r w:rsidRPr="00486DFA">
              <w:rPr>
                <w:rFonts w:ascii="Times New Roman" w:hAnsi="Times New Roman"/>
                <w:sz w:val="26"/>
                <w:szCs w:val="26"/>
                <w:lang w:val="uk-UA"/>
              </w:rPr>
              <w:t xml:space="preserve">Визнаний дохід від </w:t>
            </w:r>
            <w:r w:rsidR="00092927" w:rsidRPr="00486DFA">
              <w:rPr>
                <w:rFonts w:ascii="Times New Roman" w:hAnsi="Times New Roman"/>
                <w:sz w:val="26"/>
                <w:szCs w:val="26"/>
                <w:lang w:val="uk-UA"/>
              </w:rPr>
              <w:t xml:space="preserve">цільового фінансування капітальних інвестицій (основних засобів, нематеріальних активів тощо) </w:t>
            </w:r>
            <w:proofErr w:type="spellStart"/>
            <w:r w:rsidR="00092927" w:rsidRPr="00486DFA">
              <w:rPr>
                <w:rFonts w:ascii="Times New Roman" w:hAnsi="Times New Roman"/>
                <w:sz w:val="26"/>
                <w:szCs w:val="26"/>
                <w:lang w:val="uk-UA"/>
              </w:rPr>
              <w:t>пропорційно</w:t>
            </w:r>
            <w:proofErr w:type="spellEnd"/>
            <w:r w:rsidRPr="00486DFA">
              <w:rPr>
                <w:rFonts w:ascii="Times New Roman" w:hAnsi="Times New Roman"/>
                <w:sz w:val="26"/>
                <w:szCs w:val="26"/>
                <w:lang w:val="uk-UA"/>
              </w:rPr>
              <w:t xml:space="preserve"> сумі нарахованої амортизації </w:t>
            </w:r>
            <w:r w:rsidR="00092927" w:rsidRPr="00486DFA">
              <w:rPr>
                <w:rFonts w:ascii="Times New Roman" w:hAnsi="Times New Roman"/>
                <w:sz w:val="26"/>
                <w:szCs w:val="26"/>
                <w:lang w:val="uk-UA"/>
              </w:rPr>
              <w:t>для цих об'єктів зг</w:t>
            </w:r>
            <w:r w:rsidR="005A6BCD">
              <w:rPr>
                <w:rFonts w:ascii="Times New Roman" w:hAnsi="Times New Roman"/>
                <w:sz w:val="26"/>
                <w:szCs w:val="26"/>
                <w:lang w:val="uk-UA"/>
              </w:rPr>
              <w:t xml:space="preserve">ідно із п. 18 П(С)бо 15 </w:t>
            </w:r>
            <w:r w:rsidRPr="00486DFA">
              <w:rPr>
                <w:rFonts w:ascii="Times New Roman" w:hAnsi="Times New Roman"/>
                <w:sz w:val="26"/>
                <w:szCs w:val="26"/>
                <w:lang w:val="uk-UA"/>
              </w:rPr>
              <w:t>«Дохід»</w:t>
            </w:r>
          </w:p>
        </w:tc>
        <w:tc>
          <w:tcPr>
            <w:tcW w:w="1281" w:type="dxa"/>
          </w:tcPr>
          <w:p w:rsidR="00092927" w:rsidRPr="00486DFA" w:rsidRDefault="00092927"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20,0</w:t>
            </w:r>
          </w:p>
        </w:tc>
        <w:tc>
          <w:tcPr>
            <w:tcW w:w="1191" w:type="dxa"/>
          </w:tcPr>
          <w:p w:rsidR="00092927" w:rsidRPr="00486DFA" w:rsidRDefault="00B01166"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13,5</w:t>
            </w:r>
          </w:p>
          <w:p w:rsidR="00B01166" w:rsidRPr="00486DFA" w:rsidRDefault="00B01166" w:rsidP="00486DFA">
            <w:pPr>
              <w:spacing w:after="0"/>
              <w:jc w:val="center"/>
              <w:rPr>
                <w:rFonts w:ascii="Times New Roman" w:hAnsi="Times New Roman"/>
                <w:sz w:val="26"/>
                <w:szCs w:val="26"/>
                <w:lang w:val="uk-UA"/>
              </w:rPr>
            </w:pPr>
          </w:p>
        </w:tc>
        <w:tc>
          <w:tcPr>
            <w:tcW w:w="1372" w:type="dxa"/>
          </w:tcPr>
          <w:p w:rsidR="00092927" w:rsidRPr="00486DFA" w:rsidRDefault="003459AD"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w:t>
            </w:r>
            <w:r w:rsidR="00B01166" w:rsidRPr="00486DFA">
              <w:rPr>
                <w:rFonts w:ascii="Times New Roman" w:hAnsi="Times New Roman"/>
                <w:sz w:val="26"/>
                <w:szCs w:val="26"/>
                <w:lang w:val="uk-UA"/>
              </w:rPr>
              <w:t>6,5</w:t>
            </w:r>
          </w:p>
        </w:tc>
      </w:tr>
      <w:tr w:rsidR="00092927" w:rsidRPr="00486DFA" w:rsidTr="000B52A0">
        <w:trPr>
          <w:trHeight w:val="20"/>
        </w:trPr>
        <w:tc>
          <w:tcPr>
            <w:tcW w:w="681" w:type="dxa"/>
          </w:tcPr>
          <w:p w:rsidR="00092927" w:rsidRPr="00486DFA" w:rsidRDefault="00092927" w:rsidP="005A6BCD">
            <w:pPr>
              <w:spacing w:after="0"/>
              <w:ind w:left="-108" w:right="-110"/>
              <w:jc w:val="center"/>
              <w:rPr>
                <w:rFonts w:ascii="Times New Roman" w:hAnsi="Times New Roman"/>
                <w:sz w:val="26"/>
                <w:szCs w:val="26"/>
                <w:lang w:val="uk-UA"/>
              </w:rPr>
            </w:pPr>
            <w:r w:rsidRPr="00486DFA">
              <w:rPr>
                <w:rFonts w:ascii="Times New Roman" w:hAnsi="Times New Roman"/>
                <w:sz w:val="26"/>
                <w:szCs w:val="26"/>
                <w:lang w:val="uk-UA"/>
              </w:rPr>
              <w:t>3</w:t>
            </w:r>
            <w:r w:rsidR="00DB3A67" w:rsidRPr="00486DFA">
              <w:rPr>
                <w:rFonts w:ascii="Times New Roman" w:hAnsi="Times New Roman"/>
                <w:sz w:val="26"/>
                <w:szCs w:val="26"/>
                <w:lang w:val="uk-UA"/>
              </w:rPr>
              <w:t>.</w:t>
            </w:r>
          </w:p>
        </w:tc>
        <w:tc>
          <w:tcPr>
            <w:tcW w:w="5204" w:type="dxa"/>
            <w:gridSpan w:val="2"/>
          </w:tcPr>
          <w:p w:rsidR="00092927" w:rsidRPr="00486DFA" w:rsidRDefault="00DB3A67" w:rsidP="00486DFA">
            <w:pPr>
              <w:spacing w:after="0"/>
              <w:jc w:val="both"/>
              <w:rPr>
                <w:rFonts w:ascii="Times New Roman" w:hAnsi="Times New Roman"/>
                <w:sz w:val="26"/>
                <w:szCs w:val="26"/>
                <w:lang w:val="uk-UA"/>
              </w:rPr>
            </w:pPr>
            <w:r w:rsidRPr="00486DFA">
              <w:rPr>
                <w:rFonts w:ascii="Times New Roman" w:hAnsi="Times New Roman"/>
                <w:sz w:val="26"/>
                <w:szCs w:val="26"/>
                <w:lang w:val="uk-UA"/>
              </w:rPr>
              <w:t>Фінансування</w:t>
            </w:r>
            <w:r w:rsidR="00092927" w:rsidRPr="00486DFA">
              <w:rPr>
                <w:rFonts w:ascii="Times New Roman" w:hAnsi="Times New Roman"/>
                <w:sz w:val="26"/>
                <w:szCs w:val="26"/>
                <w:lang w:val="uk-UA"/>
              </w:rPr>
              <w:t xml:space="preserve"> згідно (ПРОГРАМ</w:t>
            </w:r>
            <w:r w:rsidRPr="00486DFA">
              <w:rPr>
                <w:rFonts w:ascii="Times New Roman" w:hAnsi="Times New Roman"/>
                <w:sz w:val="26"/>
                <w:szCs w:val="26"/>
                <w:lang w:val="uk-UA"/>
              </w:rPr>
              <w:t>А</w:t>
            </w:r>
            <w:r w:rsidR="00BA4F18" w:rsidRPr="00486DFA">
              <w:rPr>
                <w:rFonts w:ascii="Times New Roman" w:hAnsi="Times New Roman"/>
                <w:sz w:val="26"/>
                <w:szCs w:val="26"/>
                <w:lang w:val="uk-UA"/>
              </w:rPr>
              <w:t xml:space="preserve"> «</w:t>
            </w:r>
            <w:proofErr w:type="spellStart"/>
            <w:r w:rsidR="003459AD" w:rsidRPr="00486DFA">
              <w:rPr>
                <w:rFonts w:ascii="Times New Roman" w:hAnsi="Times New Roman"/>
                <w:sz w:val="26"/>
                <w:szCs w:val="26"/>
                <w:lang w:val="uk-UA"/>
              </w:rPr>
              <w:t>Співфінансування</w:t>
            </w:r>
            <w:proofErr w:type="spellEnd"/>
            <w:r w:rsidR="003459AD" w:rsidRPr="00486DFA">
              <w:rPr>
                <w:rFonts w:ascii="Times New Roman" w:hAnsi="Times New Roman"/>
                <w:sz w:val="26"/>
                <w:szCs w:val="26"/>
                <w:lang w:val="uk-UA"/>
              </w:rPr>
              <w:t xml:space="preserve"> проектів у сфері капітальних ремонтів житлового фонду та благоустрою Нетішинської </w:t>
            </w:r>
            <w:r w:rsidRPr="00486DFA">
              <w:rPr>
                <w:rFonts w:ascii="Times New Roman" w:hAnsi="Times New Roman"/>
                <w:sz w:val="26"/>
                <w:szCs w:val="26"/>
                <w:lang w:val="uk-UA"/>
              </w:rPr>
              <w:t xml:space="preserve">міської територіальної громади </w:t>
            </w:r>
            <w:r w:rsidR="003459AD" w:rsidRPr="00486DFA">
              <w:rPr>
                <w:rFonts w:ascii="Times New Roman" w:hAnsi="Times New Roman"/>
                <w:sz w:val="26"/>
                <w:szCs w:val="26"/>
                <w:lang w:val="uk-UA"/>
              </w:rPr>
              <w:t>на 2021-2023роки</w:t>
            </w:r>
            <w:r w:rsidR="00BA4F18" w:rsidRPr="00486DFA">
              <w:rPr>
                <w:rFonts w:ascii="Times New Roman" w:hAnsi="Times New Roman"/>
                <w:sz w:val="26"/>
                <w:szCs w:val="26"/>
                <w:lang w:val="uk-UA"/>
              </w:rPr>
              <w:t>»</w:t>
            </w:r>
            <w:r w:rsidR="00092927" w:rsidRPr="00486DFA">
              <w:rPr>
                <w:rFonts w:ascii="Times New Roman" w:hAnsi="Times New Roman"/>
                <w:sz w:val="26"/>
                <w:szCs w:val="26"/>
                <w:lang w:val="uk-UA"/>
              </w:rPr>
              <w:t>. (технічний огляд ліфт</w:t>
            </w:r>
            <w:r w:rsidR="00BA4F18" w:rsidRPr="00486DFA">
              <w:rPr>
                <w:rFonts w:ascii="Times New Roman" w:hAnsi="Times New Roman"/>
                <w:sz w:val="26"/>
                <w:szCs w:val="26"/>
                <w:lang w:val="uk-UA"/>
              </w:rPr>
              <w:t>ів, експертне обстеження ліфтів</w:t>
            </w:r>
            <w:r w:rsidR="00092927" w:rsidRPr="00486DFA">
              <w:rPr>
                <w:rFonts w:ascii="Times New Roman" w:hAnsi="Times New Roman"/>
                <w:sz w:val="26"/>
                <w:szCs w:val="26"/>
                <w:lang w:val="uk-UA"/>
              </w:rPr>
              <w:t>)</w:t>
            </w:r>
          </w:p>
        </w:tc>
        <w:tc>
          <w:tcPr>
            <w:tcW w:w="1281" w:type="dxa"/>
          </w:tcPr>
          <w:p w:rsidR="00092927" w:rsidRPr="00486DFA" w:rsidRDefault="000A3FB4"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100,0</w:t>
            </w:r>
          </w:p>
          <w:p w:rsidR="00092927" w:rsidRPr="00486DFA" w:rsidRDefault="00092927" w:rsidP="00486DFA">
            <w:pPr>
              <w:spacing w:after="0"/>
              <w:jc w:val="center"/>
              <w:rPr>
                <w:rFonts w:ascii="Times New Roman" w:hAnsi="Times New Roman"/>
                <w:sz w:val="26"/>
                <w:szCs w:val="26"/>
                <w:lang w:val="uk-UA"/>
              </w:rPr>
            </w:pPr>
          </w:p>
        </w:tc>
        <w:tc>
          <w:tcPr>
            <w:tcW w:w="1191" w:type="dxa"/>
          </w:tcPr>
          <w:p w:rsidR="00092927" w:rsidRPr="00486DFA" w:rsidRDefault="00B01166"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0</w:t>
            </w:r>
          </w:p>
        </w:tc>
        <w:tc>
          <w:tcPr>
            <w:tcW w:w="1372" w:type="dxa"/>
          </w:tcPr>
          <w:p w:rsidR="00092927" w:rsidRPr="00486DFA" w:rsidRDefault="000A3FB4"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-100,0</w:t>
            </w:r>
          </w:p>
        </w:tc>
      </w:tr>
      <w:tr w:rsidR="00092927" w:rsidRPr="00486DFA" w:rsidTr="000B52A0">
        <w:trPr>
          <w:trHeight w:val="20"/>
        </w:trPr>
        <w:tc>
          <w:tcPr>
            <w:tcW w:w="1890" w:type="dxa"/>
            <w:gridSpan w:val="2"/>
          </w:tcPr>
          <w:p w:rsidR="00092927" w:rsidRPr="00486DFA" w:rsidRDefault="00092927" w:rsidP="00486DFA">
            <w:pPr>
              <w:spacing w:after="0"/>
              <w:ind w:left="-108" w:right="-110"/>
              <w:rPr>
                <w:rFonts w:ascii="Times New Roman" w:hAnsi="Times New Roman"/>
                <w:sz w:val="26"/>
                <w:szCs w:val="26"/>
                <w:lang w:val="uk-UA"/>
              </w:rPr>
            </w:pPr>
            <w:r w:rsidRPr="00486DFA">
              <w:rPr>
                <w:rFonts w:ascii="Times New Roman" w:hAnsi="Times New Roman"/>
                <w:b/>
                <w:sz w:val="26"/>
                <w:szCs w:val="26"/>
                <w:lang w:val="uk-UA"/>
              </w:rPr>
              <w:t>Усього доходів</w:t>
            </w:r>
          </w:p>
        </w:tc>
        <w:tc>
          <w:tcPr>
            <w:tcW w:w="3995" w:type="dxa"/>
          </w:tcPr>
          <w:p w:rsidR="00092927" w:rsidRPr="00486DFA" w:rsidRDefault="00486DFA" w:rsidP="00486DFA">
            <w:pPr>
              <w:spacing w:after="0"/>
              <w:rPr>
                <w:rFonts w:ascii="Times New Roman" w:hAnsi="Times New Roman"/>
                <w:b/>
                <w:sz w:val="26"/>
                <w:szCs w:val="26"/>
                <w:lang w:val="uk-UA"/>
              </w:rPr>
            </w:pPr>
            <w:r w:rsidRPr="00486DFA">
              <w:rPr>
                <w:rFonts w:ascii="Times New Roman" w:hAnsi="Times New Roman"/>
                <w:b/>
                <w:sz w:val="26"/>
                <w:szCs w:val="26"/>
                <w:lang w:val="uk-UA"/>
              </w:rPr>
              <w:t xml:space="preserve"> (</w:t>
            </w:r>
            <w:r w:rsidR="00092927" w:rsidRPr="00486DFA">
              <w:rPr>
                <w:rFonts w:ascii="Times New Roman" w:hAnsi="Times New Roman"/>
                <w:b/>
                <w:sz w:val="26"/>
                <w:szCs w:val="26"/>
                <w:lang w:val="uk-UA"/>
              </w:rPr>
              <w:t>код рядка 1210)</w:t>
            </w:r>
          </w:p>
        </w:tc>
        <w:tc>
          <w:tcPr>
            <w:tcW w:w="1281" w:type="dxa"/>
          </w:tcPr>
          <w:p w:rsidR="00092927" w:rsidRPr="00486DFA" w:rsidRDefault="00B01166"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1</w:t>
            </w:r>
            <w:r w:rsidR="000A3FB4" w:rsidRPr="00486DFA">
              <w:rPr>
                <w:rFonts w:ascii="Times New Roman" w:hAnsi="Times New Roman"/>
                <w:sz w:val="26"/>
                <w:szCs w:val="26"/>
                <w:lang w:val="uk-UA"/>
              </w:rPr>
              <w:t>3</w:t>
            </w:r>
            <w:r w:rsidRPr="00486DFA">
              <w:rPr>
                <w:rFonts w:ascii="Times New Roman" w:hAnsi="Times New Roman"/>
                <w:sz w:val="26"/>
                <w:szCs w:val="26"/>
                <w:lang w:val="uk-UA"/>
              </w:rPr>
              <w:t>57,8</w:t>
            </w:r>
          </w:p>
        </w:tc>
        <w:tc>
          <w:tcPr>
            <w:tcW w:w="1191" w:type="dxa"/>
          </w:tcPr>
          <w:p w:rsidR="00092927" w:rsidRPr="00486DFA" w:rsidRDefault="00B01166"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1021,1</w:t>
            </w:r>
          </w:p>
        </w:tc>
        <w:tc>
          <w:tcPr>
            <w:tcW w:w="1372" w:type="dxa"/>
          </w:tcPr>
          <w:p w:rsidR="00092927" w:rsidRPr="00486DFA" w:rsidRDefault="00092927"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w:t>
            </w:r>
            <w:r w:rsidR="000A3FB4" w:rsidRPr="00486DFA">
              <w:rPr>
                <w:rFonts w:ascii="Times New Roman" w:hAnsi="Times New Roman"/>
                <w:sz w:val="26"/>
                <w:szCs w:val="26"/>
                <w:lang w:val="uk-UA"/>
              </w:rPr>
              <w:t>3</w:t>
            </w:r>
            <w:r w:rsidR="00B01166" w:rsidRPr="00486DFA">
              <w:rPr>
                <w:rFonts w:ascii="Times New Roman" w:hAnsi="Times New Roman"/>
                <w:sz w:val="26"/>
                <w:szCs w:val="26"/>
                <w:lang w:val="uk-UA"/>
              </w:rPr>
              <w:t>36,7</w:t>
            </w:r>
          </w:p>
        </w:tc>
      </w:tr>
    </w:tbl>
    <w:p w:rsidR="00BC3524" w:rsidRPr="00486DFA" w:rsidRDefault="00BC3524" w:rsidP="00486DFA">
      <w:pPr>
        <w:spacing w:after="0"/>
        <w:rPr>
          <w:rFonts w:ascii="Times New Roman" w:hAnsi="Times New Roman"/>
          <w:sz w:val="28"/>
          <w:szCs w:val="28"/>
          <w:lang w:val="uk-UA"/>
        </w:rPr>
      </w:pPr>
    </w:p>
    <w:p w:rsidR="00092927" w:rsidRDefault="00092927" w:rsidP="00486DFA">
      <w:pPr>
        <w:shd w:val="clear" w:color="auto" w:fill="FFFFFF"/>
        <w:spacing w:after="0"/>
        <w:ind w:firstLine="708"/>
        <w:jc w:val="both"/>
        <w:textAlignment w:val="baseline"/>
        <w:rPr>
          <w:rFonts w:ascii="Times New Roman" w:hAnsi="Times New Roman"/>
          <w:sz w:val="28"/>
          <w:szCs w:val="28"/>
          <w:lang w:val="uk-UA"/>
        </w:rPr>
      </w:pPr>
      <w:r w:rsidRPr="00486DFA">
        <w:rPr>
          <w:rFonts w:ascii="Times New Roman" w:hAnsi="Times New Roman"/>
          <w:sz w:val="28"/>
          <w:szCs w:val="28"/>
          <w:lang w:val="uk-UA"/>
        </w:rPr>
        <w:lastRenderedPageBreak/>
        <w:t>Витрати підприємства співвідносяться з доходами, які планується отримати в результаті фінансово-господарської діяльності підприємства.</w:t>
      </w:r>
    </w:p>
    <w:p w:rsidR="00486DFA" w:rsidRPr="00486DFA" w:rsidRDefault="00486DFA" w:rsidP="00486DFA">
      <w:pPr>
        <w:shd w:val="clear" w:color="auto" w:fill="FFFFFF"/>
        <w:spacing w:after="0"/>
        <w:jc w:val="both"/>
        <w:textAlignment w:val="baseline"/>
        <w:rPr>
          <w:rFonts w:ascii="Times New Roman" w:hAnsi="Times New Roman"/>
          <w:sz w:val="28"/>
          <w:szCs w:val="28"/>
          <w:lang w:val="uk-UA"/>
        </w:rPr>
      </w:pPr>
    </w:p>
    <w:p w:rsidR="00092927" w:rsidRPr="00486DFA" w:rsidRDefault="00092927" w:rsidP="00486DFA">
      <w:pPr>
        <w:tabs>
          <w:tab w:val="left" w:pos="708"/>
          <w:tab w:val="left" w:pos="1416"/>
          <w:tab w:val="left" w:pos="2124"/>
        </w:tabs>
        <w:spacing w:after="0"/>
        <w:rPr>
          <w:rFonts w:ascii="Times New Roman" w:hAnsi="Times New Roman"/>
          <w:b/>
          <w:sz w:val="28"/>
          <w:szCs w:val="28"/>
          <w:lang w:val="uk-UA"/>
        </w:rPr>
      </w:pPr>
      <w:r w:rsidRPr="00486DFA">
        <w:rPr>
          <w:rFonts w:ascii="Times New Roman" w:hAnsi="Times New Roman"/>
          <w:b/>
          <w:sz w:val="28"/>
          <w:szCs w:val="28"/>
          <w:lang w:val="uk-UA"/>
        </w:rPr>
        <w:t>ВИТРАТИ:</w:t>
      </w:r>
      <w:r w:rsidRPr="00486DFA">
        <w:rPr>
          <w:rFonts w:ascii="Times New Roman" w:hAnsi="Times New Roman"/>
          <w:b/>
          <w:sz w:val="28"/>
          <w:szCs w:val="28"/>
          <w:lang w:val="uk-UA"/>
        </w:rPr>
        <w:tab/>
      </w:r>
      <w:r w:rsidR="00486DFA" w:rsidRPr="00486DFA">
        <w:rPr>
          <w:rFonts w:ascii="Times New Roman" w:hAnsi="Times New Roman"/>
          <w:b/>
          <w:sz w:val="28"/>
          <w:szCs w:val="28"/>
          <w:lang w:val="uk-UA"/>
        </w:rPr>
        <w:tab/>
      </w:r>
      <w:r w:rsidR="00486DFA" w:rsidRPr="00486DFA">
        <w:rPr>
          <w:rFonts w:ascii="Times New Roman" w:hAnsi="Times New Roman"/>
          <w:b/>
          <w:sz w:val="28"/>
          <w:szCs w:val="28"/>
          <w:lang w:val="uk-UA"/>
        </w:rPr>
        <w:tab/>
      </w:r>
      <w:r w:rsidR="00486DFA" w:rsidRPr="00486DFA">
        <w:rPr>
          <w:rFonts w:ascii="Times New Roman" w:hAnsi="Times New Roman"/>
          <w:b/>
          <w:sz w:val="28"/>
          <w:szCs w:val="28"/>
          <w:lang w:val="uk-UA"/>
        </w:rPr>
        <w:tab/>
      </w:r>
      <w:r w:rsidR="00486DFA" w:rsidRPr="00486DFA">
        <w:rPr>
          <w:rFonts w:ascii="Times New Roman" w:hAnsi="Times New Roman"/>
          <w:b/>
          <w:sz w:val="28"/>
          <w:szCs w:val="28"/>
          <w:lang w:val="uk-UA"/>
        </w:rPr>
        <w:tab/>
      </w:r>
      <w:r w:rsidR="00486DFA" w:rsidRPr="00486DFA">
        <w:rPr>
          <w:rFonts w:ascii="Times New Roman" w:hAnsi="Times New Roman"/>
          <w:b/>
          <w:sz w:val="28"/>
          <w:szCs w:val="28"/>
          <w:lang w:val="uk-UA"/>
        </w:rPr>
        <w:tab/>
      </w:r>
      <w:r w:rsidR="00486DFA" w:rsidRPr="00486DFA">
        <w:rPr>
          <w:rFonts w:ascii="Times New Roman" w:hAnsi="Times New Roman"/>
          <w:b/>
          <w:sz w:val="28"/>
          <w:szCs w:val="28"/>
          <w:lang w:val="uk-UA"/>
        </w:rPr>
        <w:tab/>
      </w:r>
      <w:r w:rsidR="00486DFA" w:rsidRPr="00486DFA">
        <w:rPr>
          <w:rFonts w:ascii="Times New Roman" w:hAnsi="Times New Roman"/>
          <w:b/>
          <w:sz w:val="28"/>
          <w:szCs w:val="28"/>
          <w:lang w:val="uk-UA"/>
        </w:rPr>
        <w:tab/>
      </w:r>
      <w:r w:rsidR="00486DFA" w:rsidRPr="00486DFA">
        <w:rPr>
          <w:rFonts w:ascii="Times New Roman" w:hAnsi="Times New Roman"/>
          <w:b/>
          <w:sz w:val="28"/>
          <w:szCs w:val="28"/>
          <w:lang w:val="uk-UA"/>
        </w:rPr>
        <w:tab/>
      </w:r>
      <w:r w:rsidR="00486DFA" w:rsidRPr="00486DFA">
        <w:rPr>
          <w:rFonts w:ascii="Times New Roman" w:hAnsi="Times New Roman"/>
          <w:b/>
          <w:sz w:val="28"/>
          <w:szCs w:val="28"/>
          <w:lang w:val="uk-UA"/>
        </w:rPr>
        <w:tab/>
      </w:r>
      <w:r w:rsidR="00DB3A67" w:rsidRPr="00486DFA">
        <w:rPr>
          <w:rFonts w:ascii="Times New Roman" w:hAnsi="Times New Roman"/>
          <w:sz w:val="28"/>
          <w:szCs w:val="28"/>
          <w:lang w:val="uk-UA"/>
        </w:rPr>
        <w:t>тис. грн</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
        <w:gridCol w:w="3536"/>
        <w:gridCol w:w="2065"/>
        <w:gridCol w:w="1656"/>
        <w:gridCol w:w="1521"/>
      </w:tblGrid>
      <w:tr w:rsidR="00092927" w:rsidRPr="00486DFA" w:rsidTr="00B24420">
        <w:trPr>
          <w:trHeight w:val="603"/>
        </w:trPr>
        <w:tc>
          <w:tcPr>
            <w:tcW w:w="1016" w:type="dxa"/>
          </w:tcPr>
          <w:p w:rsidR="00486DFA" w:rsidRPr="00486DFA" w:rsidRDefault="00092927"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 xml:space="preserve">№ </w:t>
            </w:r>
          </w:p>
          <w:p w:rsidR="00092927" w:rsidRPr="00486DFA" w:rsidRDefault="00092927"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з/п</w:t>
            </w:r>
          </w:p>
        </w:tc>
        <w:tc>
          <w:tcPr>
            <w:tcW w:w="3628" w:type="dxa"/>
          </w:tcPr>
          <w:p w:rsidR="00092927" w:rsidRPr="00486DFA" w:rsidRDefault="00092927"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Стаття витрат</w:t>
            </w:r>
          </w:p>
        </w:tc>
        <w:tc>
          <w:tcPr>
            <w:tcW w:w="2127" w:type="dxa"/>
          </w:tcPr>
          <w:p w:rsidR="00486DFA" w:rsidRPr="00486DFA" w:rsidRDefault="00092927"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 xml:space="preserve">План </w:t>
            </w:r>
          </w:p>
          <w:p w:rsidR="00092927" w:rsidRPr="00486DFA" w:rsidRDefault="00092927"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202</w:t>
            </w:r>
            <w:r w:rsidR="00AA1DCB" w:rsidRPr="00486DFA">
              <w:rPr>
                <w:rFonts w:ascii="Times New Roman" w:hAnsi="Times New Roman"/>
                <w:sz w:val="26"/>
                <w:szCs w:val="26"/>
                <w:lang w:val="uk-UA"/>
              </w:rPr>
              <w:t>2</w:t>
            </w:r>
            <w:r w:rsidRPr="00486DFA">
              <w:rPr>
                <w:rFonts w:ascii="Times New Roman" w:hAnsi="Times New Roman"/>
                <w:sz w:val="26"/>
                <w:szCs w:val="26"/>
                <w:lang w:val="uk-UA"/>
              </w:rPr>
              <w:t>рік</w:t>
            </w:r>
          </w:p>
        </w:tc>
        <w:tc>
          <w:tcPr>
            <w:tcW w:w="1701" w:type="dxa"/>
          </w:tcPr>
          <w:p w:rsidR="00092927" w:rsidRPr="00486DFA" w:rsidRDefault="00092927"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Факт</w:t>
            </w:r>
          </w:p>
          <w:p w:rsidR="00092927" w:rsidRPr="00486DFA" w:rsidRDefault="00092927"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202</w:t>
            </w:r>
            <w:r w:rsidR="00AA1DCB" w:rsidRPr="00486DFA">
              <w:rPr>
                <w:rFonts w:ascii="Times New Roman" w:hAnsi="Times New Roman"/>
                <w:sz w:val="26"/>
                <w:szCs w:val="26"/>
                <w:lang w:val="uk-UA"/>
              </w:rPr>
              <w:t>2</w:t>
            </w:r>
            <w:r w:rsidRPr="00486DFA">
              <w:rPr>
                <w:rFonts w:ascii="Times New Roman" w:hAnsi="Times New Roman"/>
                <w:sz w:val="26"/>
                <w:szCs w:val="26"/>
                <w:lang w:val="uk-UA"/>
              </w:rPr>
              <w:t xml:space="preserve"> року</w:t>
            </w:r>
          </w:p>
        </w:tc>
        <w:tc>
          <w:tcPr>
            <w:tcW w:w="1322" w:type="dxa"/>
          </w:tcPr>
          <w:p w:rsidR="00092927" w:rsidRPr="00486DFA" w:rsidRDefault="00092927"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відхилення,  +/–</w:t>
            </w:r>
          </w:p>
        </w:tc>
      </w:tr>
      <w:tr w:rsidR="00092927" w:rsidRPr="00486DFA" w:rsidTr="00B24420">
        <w:trPr>
          <w:trHeight w:val="360"/>
        </w:trPr>
        <w:tc>
          <w:tcPr>
            <w:tcW w:w="1016" w:type="dxa"/>
          </w:tcPr>
          <w:p w:rsidR="00092927" w:rsidRPr="00486DFA" w:rsidRDefault="00092927"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1</w:t>
            </w:r>
            <w:r w:rsidR="00486DFA" w:rsidRPr="00486DFA">
              <w:rPr>
                <w:rFonts w:ascii="Times New Roman" w:hAnsi="Times New Roman"/>
                <w:sz w:val="26"/>
                <w:szCs w:val="26"/>
                <w:lang w:val="uk-UA"/>
              </w:rPr>
              <w:t>.</w:t>
            </w:r>
          </w:p>
        </w:tc>
        <w:tc>
          <w:tcPr>
            <w:tcW w:w="3628" w:type="dxa"/>
          </w:tcPr>
          <w:p w:rsidR="00092927" w:rsidRPr="00486DFA" w:rsidRDefault="00092927" w:rsidP="00486DFA">
            <w:pPr>
              <w:tabs>
                <w:tab w:val="left" w:pos="709"/>
              </w:tabs>
              <w:spacing w:after="0"/>
              <w:jc w:val="center"/>
              <w:rPr>
                <w:rFonts w:ascii="Times New Roman" w:hAnsi="Times New Roman"/>
                <w:sz w:val="26"/>
                <w:szCs w:val="26"/>
                <w:lang w:val="uk-UA"/>
              </w:rPr>
            </w:pPr>
            <w:r w:rsidRPr="00486DFA">
              <w:rPr>
                <w:rFonts w:ascii="Times New Roman" w:hAnsi="Times New Roman"/>
                <w:sz w:val="26"/>
                <w:szCs w:val="26"/>
                <w:lang w:val="uk-UA"/>
              </w:rPr>
              <w:t>Адміністративні витрати</w:t>
            </w:r>
          </w:p>
        </w:tc>
        <w:tc>
          <w:tcPr>
            <w:tcW w:w="2127" w:type="dxa"/>
          </w:tcPr>
          <w:p w:rsidR="00092927" w:rsidRPr="00486DFA" w:rsidRDefault="00AA1DCB"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1</w:t>
            </w:r>
            <w:r w:rsidR="000A3FB4" w:rsidRPr="00486DFA">
              <w:rPr>
                <w:rFonts w:ascii="Times New Roman" w:hAnsi="Times New Roman"/>
                <w:sz w:val="26"/>
                <w:szCs w:val="26"/>
                <w:lang w:val="uk-UA"/>
              </w:rPr>
              <w:t>3</w:t>
            </w:r>
            <w:r w:rsidRPr="00486DFA">
              <w:rPr>
                <w:rFonts w:ascii="Times New Roman" w:hAnsi="Times New Roman"/>
                <w:sz w:val="26"/>
                <w:szCs w:val="26"/>
                <w:lang w:val="uk-UA"/>
              </w:rPr>
              <w:t>57,8</w:t>
            </w:r>
          </w:p>
        </w:tc>
        <w:tc>
          <w:tcPr>
            <w:tcW w:w="1701" w:type="dxa"/>
          </w:tcPr>
          <w:p w:rsidR="00092927" w:rsidRPr="00486DFA" w:rsidRDefault="00AA1DCB"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1021,1</w:t>
            </w:r>
          </w:p>
        </w:tc>
        <w:tc>
          <w:tcPr>
            <w:tcW w:w="1322" w:type="dxa"/>
          </w:tcPr>
          <w:p w:rsidR="00092927" w:rsidRPr="00486DFA" w:rsidRDefault="00092927"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w:t>
            </w:r>
            <w:r w:rsidR="000A3FB4" w:rsidRPr="00486DFA">
              <w:rPr>
                <w:rFonts w:ascii="Times New Roman" w:hAnsi="Times New Roman"/>
                <w:sz w:val="26"/>
                <w:szCs w:val="26"/>
                <w:lang w:val="uk-UA"/>
              </w:rPr>
              <w:t>3</w:t>
            </w:r>
            <w:r w:rsidR="00AA1DCB" w:rsidRPr="00486DFA">
              <w:rPr>
                <w:rFonts w:ascii="Times New Roman" w:hAnsi="Times New Roman"/>
                <w:sz w:val="26"/>
                <w:szCs w:val="26"/>
                <w:lang w:val="uk-UA"/>
              </w:rPr>
              <w:t>36,7</w:t>
            </w:r>
          </w:p>
        </w:tc>
      </w:tr>
      <w:tr w:rsidR="00092927" w:rsidRPr="00486DFA" w:rsidTr="000D5F64">
        <w:trPr>
          <w:trHeight w:val="532"/>
        </w:trPr>
        <w:tc>
          <w:tcPr>
            <w:tcW w:w="1016" w:type="dxa"/>
          </w:tcPr>
          <w:p w:rsidR="00092927" w:rsidRPr="00486DFA" w:rsidRDefault="00092927"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Усього витрат</w:t>
            </w:r>
          </w:p>
        </w:tc>
        <w:tc>
          <w:tcPr>
            <w:tcW w:w="3628" w:type="dxa"/>
          </w:tcPr>
          <w:p w:rsidR="00092927" w:rsidRPr="00486DFA" w:rsidRDefault="00486DFA" w:rsidP="00486DFA">
            <w:pPr>
              <w:spacing w:after="0"/>
              <w:rPr>
                <w:rFonts w:ascii="Times New Roman" w:hAnsi="Times New Roman"/>
                <w:b/>
                <w:sz w:val="26"/>
                <w:szCs w:val="26"/>
                <w:lang w:val="uk-UA"/>
              </w:rPr>
            </w:pPr>
            <w:r w:rsidRPr="00486DFA">
              <w:rPr>
                <w:rFonts w:ascii="Times New Roman" w:hAnsi="Times New Roman"/>
                <w:b/>
                <w:sz w:val="26"/>
                <w:szCs w:val="26"/>
                <w:lang w:val="uk-UA"/>
              </w:rPr>
              <w:t>(</w:t>
            </w:r>
            <w:r w:rsidR="00092927" w:rsidRPr="00486DFA">
              <w:rPr>
                <w:rFonts w:ascii="Times New Roman" w:hAnsi="Times New Roman"/>
                <w:b/>
                <w:sz w:val="26"/>
                <w:szCs w:val="26"/>
                <w:lang w:val="uk-UA"/>
              </w:rPr>
              <w:t>код рядка 1220)</w:t>
            </w:r>
          </w:p>
        </w:tc>
        <w:tc>
          <w:tcPr>
            <w:tcW w:w="2127" w:type="dxa"/>
          </w:tcPr>
          <w:p w:rsidR="00092927" w:rsidRPr="00486DFA" w:rsidRDefault="00AA1DCB"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1</w:t>
            </w:r>
            <w:r w:rsidR="000A3FB4" w:rsidRPr="00486DFA">
              <w:rPr>
                <w:rFonts w:ascii="Times New Roman" w:hAnsi="Times New Roman"/>
                <w:sz w:val="26"/>
                <w:szCs w:val="26"/>
                <w:lang w:val="uk-UA"/>
              </w:rPr>
              <w:t>3</w:t>
            </w:r>
            <w:r w:rsidRPr="00486DFA">
              <w:rPr>
                <w:rFonts w:ascii="Times New Roman" w:hAnsi="Times New Roman"/>
                <w:sz w:val="26"/>
                <w:szCs w:val="26"/>
                <w:lang w:val="uk-UA"/>
              </w:rPr>
              <w:t>57,8</w:t>
            </w:r>
          </w:p>
        </w:tc>
        <w:tc>
          <w:tcPr>
            <w:tcW w:w="1701" w:type="dxa"/>
          </w:tcPr>
          <w:p w:rsidR="00092927" w:rsidRPr="00486DFA" w:rsidRDefault="00AA1DCB"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1021,1</w:t>
            </w:r>
          </w:p>
        </w:tc>
        <w:tc>
          <w:tcPr>
            <w:tcW w:w="1322" w:type="dxa"/>
          </w:tcPr>
          <w:p w:rsidR="00092927" w:rsidRPr="00486DFA" w:rsidRDefault="00092927" w:rsidP="00486DFA">
            <w:pPr>
              <w:spacing w:after="0"/>
              <w:jc w:val="center"/>
              <w:rPr>
                <w:rFonts w:ascii="Times New Roman" w:hAnsi="Times New Roman"/>
                <w:sz w:val="26"/>
                <w:szCs w:val="26"/>
                <w:lang w:val="uk-UA"/>
              </w:rPr>
            </w:pPr>
            <w:r w:rsidRPr="00486DFA">
              <w:rPr>
                <w:rFonts w:ascii="Times New Roman" w:hAnsi="Times New Roman"/>
                <w:sz w:val="26"/>
                <w:szCs w:val="26"/>
                <w:lang w:val="uk-UA"/>
              </w:rPr>
              <w:t>-</w:t>
            </w:r>
            <w:r w:rsidR="000A3FB4" w:rsidRPr="00486DFA">
              <w:rPr>
                <w:rFonts w:ascii="Times New Roman" w:hAnsi="Times New Roman"/>
                <w:sz w:val="26"/>
                <w:szCs w:val="26"/>
                <w:lang w:val="uk-UA"/>
              </w:rPr>
              <w:t>3</w:t>
            </w:r>
            <w:r w:rsidR="00AA1DCB" w:rsidRPr="00486DFA">
              <w:rPr>
                <w:rFonts w:ascii="Times New Roman" w:hAnsi="Times New Roman"/>
                <w:sz w:val="26"/>
                <w:szCs w:val="26"/>
                <w:lang w:val="uk-UA"/>
              </w:rPr>
              <w:t>36,7</w:t>
            </w:r>
          </w:p>
        </w:tc>
      </w:tr>
    </w:tbl>
    <w:p w:rsidR="00486DFA" w:rsidRPr="00486DFA" w:rsidRDefault="00486DFA" w:rsidP="00486DFA">
      <w:pPr>
        <w:shd w:val="clear" w:color="auto" w:fill="FFFFFF"/>
        <w:spacing w:after="0"/>
        <w:ind w:firstLine="567"/>
        <w:jc w:val="both"/>
        <w:textAlignment w:val="baseline"/>
        <w:rPr>
          <w:rFonts w:ascii="Times New Roman" w:hAnsi="Times New Roman"/>
          <w:sz w:val="28"/>
          <w:szCs w:val="28"/>
          <w:lang w:val="uk-UA"/>
        </w:rPr>
      </w:pPr>
    </w:p>
    <w:p w:rsidR="0059502E" w:rsidRPr="00486DFA" w:rsidRDefault="00320103" w:rsidP="00486DFA">
      <w:pPr>
        <w:shd w:val="clear" w:color="auto" w:fill="FFFFFF"/>
        <w:spacing w:after="0"/>
        <w:ind w:firstLine="567"/>
        <w:jc w:val="both"/>
        <w:textAlignment w:val="baseline"/>
        <w:rPr>
          <w:rFonts w:ascii="Times New Roman" w:hAnsi="Times New Roman"/>
          <w:sz w:val="28"/>
          <w:szCs w:val="28"/>
          <w:lang w:val="uk-UA"/>
        </w:rPr>
      </w:pPr>
      <w:r w:rsidRPr="00486DFA">
        <w:rPr>
          <w:rFonts w:ascii="Times New Roman" w:hAnsi="Times New Roman"/>
          <w:sz w:val="28"/>
          <w:szCs w:val="28"/>
          <w:lang w:val="uk-UA"/>
        </w:rPr>
        <w:t>Програмою</w:t>
      </w:r>
      <w:r w:rsidR="00C31A29" w:rsidRPr="00486DFA">
        <w:rPr>
          <w:rFonts w:ascii="Times New Roman" w:hAnsi="Times New Roman"/>
          <w:sz w:val="28"/>
          <w:szCs w:val="28"/>
          <w:lang w:val="uk-UA"/>
        </w:rPr>
        <w:t xml:space="preserve"> </w:t>
      </w:r>
      <w:proofErr w:type="spellStart"/>
      <w:r w:rsidR="00466CA3" w:rsidRPr="00486DFA">
        <w:rPr>
          <w:rFonts w:ascii="Times New Roman" w:hAnsi="Times New Roman"/>
          <w:sz w:val="28"/>
          <w:szCs w:val="28"/>
          <w:lang w:val="uk-UA"/>
        </w:rPr>
        <w:t>співфінансування</w:t>
      </w:r>
      <w:proofErr w:type="spellEnd"/>
      <w:r w:rsidR="00466CA3" w:rsidRPr="00486DFA">
        <w:rPr>
          <w:rFonts w:ascii="Times New Roman" w:hAnsi="Times New Roman"/>
          <w:sz w:val="28"/>
          <w:szCs w:val="28"/>
          <w:lang w:val="uk-UA"/>
        </w:rPr>
        <w:t xml:space="preserve"> </w:t>
      </w:r>
      <w:proofErr w:type="spellStart"/>
      <w:r w:rsidR="00466CA3" w:rsidRPr="00486DFA">
        <w:rPr>
          <w:rFonts w:ascii="Times New Roman" w:hAnsi="Times New Roman"/>
          <w:sz w:val="28"/>
          <w:szCs w:val="28"/>
          <w:lang w:val="uk-UA"/>
        </w:rPr>
        <w:t>проєктів</w:t>
      </w:r>
      <w:proofErr w:type="spellEnd"/>
      <w:r w:rsidR="00466CA3" w:rsidRPr="00486DFA">
        <w:rPr>
          <w:rFonts w:ascii="Times New Roman" w:hAnsi="Times New Roman"/>
          <w:sz w:val="28"/>
          <w:szCs w:val="28"/>
          <w:lang w:val="uk-UA"/>
        </w:rPr>
        <w:t xml:space="preserve"> у сфері капітальних ремонтів житлового фонду та благоустрою Нетішинської міської територіальної громади на 2021-2023 роки </w:t>
      </w:r>
      <w:r w:rsidR="0059502E" w:rsidRPr="00486DFA">
        <w:rPr>
          <w:rFonts w:ascii="Times New Roman" w:hAnsi="Times New Roman"/>
          <w:sz w:val="28"/>
          <w:szCs w:val="28"/>
          <w:lang w:val="uk-UA"/>
        </w:rPr>
        <w:t xml:space="preserve">передбачено </w:t>
      </w:r>
      <w:r w:rsidR="00EF7B2A" w:rsidRPr="00486DFA">
        <w:rPr>
          <w:rFonts w:ascii="Times New Roman" w:hAnsi="Times New Roman"/>
          <w:sz w:val="28"/>
          <w:szCs w:val="28"/>
          <w:lang w:val="uk-UA"/>
        </w:rPr>
        <w:t xml:space="preserve">на експертне обстеження та позачерговий технічний огляд ліфтів </w:t>
      </w:r>
      <w:r w:rsidR="00096556" w:rsidRPr="00486DFA">
        <w:rPr>
          <w:rFonts w:ascii="Times New Roman" w:hAnsi="Times New Roman"/>
          <w:sz w:val="28"/>
          <w:szCs w:val="28"/>
          <w:lang w:val="uk-UA"/>
        </w:rPr>
        <w:t>10</w:t>
      </w:r>
      <w:r w:rsidR="00092927" w:rsidRPr="00486DFA">
        <w:rPr>
          <w:rFonts w:ascii="Times New Roman" w:hAnsi="Times New Roman"/>
          <w:sz w:val="28"/>
          <w:szCs w:val="28"/>
          <w:lang w:val="uk-UA"/>
        </w:rPr>
        <w:t>0,0</w:t>
      </w:r>
      <w:r w:rsidR="00695835" w:rsidRPr="00486DFA">
        <w:rPr>
          <w:rFonts w:ascii="Times New Roman" w:hAnsi="Times New Roman"/>
          <w:sz w:val="28"/>
          <w:szCs w:val="28"/>
          <w:lang w:val="uk-UA"/>
        </w:rPr>
        <w:t xml:space="preserve"> </w:t>
      </w:r>
      <w:r w:rsidR="00092927" w:rsidRPr="00486DFA">
        <w:rPr>
          <w:rFonts w:ascii="Times New Roman" w:hAnsi="Times New Roman"/>
          <w:sz w:val="28"/>
          <w:szCs w:val="28"/>
          <w:lang w:val="uk-UA"/>
        </w:rPr>
        <w:t>тис.</w:t>
      </w:r>
      <w:r w:rsidR="00972151" w:rsidRPr="00486DFA">
        <w:rPr>
          <w:rFonts w:ascii="Times New Roman" w:hAnsi="Times New Roman"/>
          <w:sz w:val="28"/>
          <w:szCs w:val="28"/>
          <w:lang w:val="uk-UA"/>
        </w:rPr>
        <w:t xml:space="preserve"> </w:t>
      </w:r>
      <w:r w:rsidR="00092927" w:rsidRPr="00486DFA">
        <w:rPr>
          <w:rFonts w:ascii="Times New Roman" w:hAnsi="Times New Roman"/>
          <w:sz w:val="28"/>
          <w:szCs w:val="28"/>
          <w:lang w:val="uk-UA"/>
        </w:rPr>
        <w:t xml:space="preserve">грн. </w:t>
      </w:r>
      <w:r w:rsidR="00AA1DCB" w:rsidRPr="00486DFA">
        <w:rPr>
          <w:rFonts w:ascii="Times New Roman" w:hAnsi="Times New Roman"/>
          <w:sz w:val="28"/>
          <w:szCs w:val="28"/>
          <w:lang w:val="uk-UA"/>
        </w:rPr>
        <w:t xml:space="preserve">У </w:t>
      </w:r>
      <w:r w:rsidR="0059502E" w:rsidRPr="00486DFA">
        <w:rPr>
          <w:rFonts w:ascii="Times New Roman" w:hAnsi="Times New Roman"/>
          <w:sz w:val="28"/>
          <w:szCs w:val="28"/>
          <w:lang w:val="uk-UA"/>
        </w:rPr>
        <w:t>202</w:t>
      </w:r>
      <w:r w:rsidR="00AA1DCB" w:rsidRPr="00486DFA">
        <w:rPr>
          <w:rFonts w:ascii="Times New Roman" w:hAnsi="Times New Roman"/>
          <w:sz w:val="28"/>
          <w:szCs w:val="28"/>
          <w:lang w:val="uk-UA"/>
        </w:rPr>
        <w:t xml:space="preserve">2 році на виконання </w:t>
      </w:r>
      <w:r w:rsidR="000A3FB4" w:rsidRPr="00486DFA">
        <w:rPr>
          <w:rFonts w:ascii="Times New Roman" w:hAnsi="Times New Roman"/>
          <w:sz w:val="28"/>
          <w:szCs w:val="28"/>
          <w:lang w:val="uk-UA"/>
        </w:rPr>
        <w:t xml:space="preserve">даної </w:t>
      </w:r>
      <w:r w:rsidRPr="00486DFA">
        <w:rPr>
          <w:rFonts w:ascii="Times New Roman" w:hAnsi="Times New Roman"/>
          <w:sz w:val="28"/>
          <w:szCs w:val="28"/>
          <w:lang w:val="uk-UA"/>
        </w:rPr>
        <w:t>Програми</w:t>
      </w:r>
      <w:r w:rsidR="00C31A29" w:rsidRPr="00486DFA">
        <w:rPr>
          <w:rFonts w:ascii="Times New Roman" w:hAnsi="Times New Roman"/>
          <w:sz w:val="28"/>
          <w:szCs w:val="28"/>
          <w:lang w:val="uk-UA"/>
        </w:rPr>
        <w:t xml:space="preserve"> </w:t>
      </w:r>
      <w:r w:rsidR="00AA1DCB" w:rsidRPr="00486DFA">
        <w:rPr>
          <w:rFonts w:ascii="Times New Roman" w:hAnsi="Times New Roman"/>
          <w:sz w:val="28"/>
          <w:szCs w:val="28"/>
          <w:lang w:val="uk-UA"/>
        </w:rPr>
        <w:t>кошти не виділялись.</w:t>
      </w:r>
    </w:p>
    <w:p w:rsidR="00092927" w:rsidRPr="00486DFA" w:rsidRDefault="00092927" w:rsidP="00486DFA">
      <w:pPr>
        <w:pStyle w:val="a4"/>
        <w:widowControl w:val="0"/>
        <w:shd w:val="clear" w:color="auto" w:fill="FFFFFF"/>
        <w:spacing w:before="0" w:beforeAutospacing="0" w:after="0" w:afterAutospacing="0"/>
        <w:ind w:firstLine="567"/>
        <w:jc w:val="both"/>
        <w:rPr>
          <w:sz w:val="28"/>
          <w:szCs w:val="28"/>
          <w:lang w:val="uk-UA"/>
        </w:rPr>
      </w:pPr>
      <w:r w:rsidRPr="00486DFA">
        <w:rPr>
          <w:sz w:val="28"/>
          <w:szCs w:val="28"/>
          <w:lang w:val="uk-UA"/>
        </w:rPr>
        <w:t>Діяльність підприємства спрямована на забезпечення поетапного та якісного виконання пріорите</w:t>
      </w:r>
      <w:r w:rsidR="00695835" w:rsidRPr="00486DFA">
        <w:rPr>
          <w:sz w:val="28"/>
          <w:szCs w:val="28"/>
          <w:lang w:val="uk-UA"/>
        </w:rPr>
        <w:t>тних завдань та заходів Програми</w:t>
      </w:r>
      <w:r w:rsidRPr="00486DFA">
        <w:rPr>
          <w:sz w:val="28"/>
          <w:szCs w:val="28"/>
          <w:lang w:val="uk-UA"/>
        </w:rPr>
        <w:t xml:space="preserve"> «Пріоритетів розвитку гром</w:t>
      </w:r>
      <w:r w:rsidR="00AA1DCB" w:rsidRPr="00486DFA">
        <w:rPr>
          <w:sz w:val="28"/>
          <w:szCs w:val="28"/>
          <w:lang w:val="uk-UA"/>
        </w:rPr>
        <w:t>адського суспільства, соціо</w:t>
      </w:r>
      <w:r w:rsidRPr="00486DFA">
        <w:rPr>
          <w:sz w:val="28"/>
          <w:szCs w:val="28"/>
          <w:lang w:val="uk-UA"/>
        </w:rPr>
        <w:t>культурного простору, та сприятливого клімату для залучення донорських коштів, спрямов</w:t>
      </w:r>
      <w:r w:rsidR="00466CA3" w:rsidRPr="00486DFA">
        <w:rPr>
          <w:sz w:val="28"/>
          <w:szCs w:val="28"/>
          <w:lang w:val="uk-UA"/>
        </w:rPr>
        <w:t>аних на розвиток громади» на 2021-2022</w:t>
      </w:r>
      <w:r w:rsidRPr="00486DFA">
        <w:rPr>
          <w:sz w:val="28"/>
          <w:szCs w:val="28"/>
          <w:lang w:val="uk-UA"/>
        </w:rPr>
        <w:t xml:space="preserve"> роки, та активного залучення грантових коштів на реалізацію проектів.</w:t>
      </w:r>
    </w:p>
    <w:p w:rsidR="00092927" w:rsidRPr="00486DFA" w:rsidRDefault="00092927" w:rsidP="00486DFA">
      <w:pPr>
        <w:tabs>
          <w:tab w:val="left" w:pos="0"/>
        </w:tabs>
        <w:spacing w:after="0"/>
        <w:ind w:firstLine="567"/>
        <w:jc w:val="both"/>
        <w:rPr>
          <w:rFonts w:ascii="Times New Roman" w:hAnsi="Times New Roman"/>
          <w:bCs/>
          <w:sz w:val="28"/>
          <w:szCs w:val="28"/>
          <w:lang w:val="uk-UA"/>
        </w:rPr>
      </w:pPr>
      <w:r w:rsidRPr="00486DFA">
        <w:rPr>
          <w:rFonts w:ascii="Times New Roman" w:hAnsi="Times New Roman"/>
          <w:sz w:val="28"/>
          <w:szCs w:val="28"/>
          <w:lang w:val="uk-UA"/>
        </w:rPr>
        <w:t xml:space="preserve">Згідно рішення </w:t>
      </w:r>
      <w:r w:rsidR="00BC3524" w:rsidRPr="00486DFA">
        <w:rPr>
          <w:rFonts w:ascii="Times New Roman" w:hAnsi="Times New Roman"/>
          <w:sz w:val="28"/>
          <w:szCs w:val="28"/>
          <w:lang w:val="uk-UA"/>
        </w:rPr>
        <w:t>п’ятдесят</w:t>
      </w:r>
      <w:r w:rsidR="00486DFA">
        <w:rPr>
          <w:rFonts w:ascii="Times New Roman" w:hAnsi="Times New Roman"/>
          <w:sz w:val="28"/>
          <w:szCs w:val="28"/>
          <w:lang w:val="uk-UA"/>
        </w:rPr>
        <w:t xml:space="preserve"> другої</w:t>
      </w:r>
      <w:r w:rsidRPr="00486DFA">
        <w:rPr>
          <w:rFonts w:ascii="Times New Roman" w:hAnsi="Times New Roman"/>
          <w:sz w:val="28"/>
          <w:szCs w:val="28"/>
          <w:lang w:val="uk-UA"/>
        </w:rPr>
        <w:t xml:space="preserve"> сесії Нетішинської міської ради </w:t>
      </w:r>
      <w:r w:rsidR="00486DFA">
        <w:rPr>
          <w:rFonts w:ascii="Times New Roman" w:hAnsi="Times New Roman"/>
          <w:sz w:val="28"/>
          <w:szCs w:val="28"/>
          <w:lang w:val="uk-UA"/>
        </w:rPr>
        <w:t xml:space="preserve">                         </w:t>
      </w:r>
      <w:r w:rsidRPr="00486DFA">
        <w:rPr>
          <w:rFonts w:ascii="Times New Roman" w:hAnsi="Times New Roman"/>
          <w:sz w:val="28"/>
          <w:szCs w:val="28"/>
          <w:lang w:val="uk-UA"/>
        </w:rPr>
        <w:t xml:space="preserve"> VІІ скликання від 01 березня 2019 року №</w:t>
      </w:r>
      <w:r w:rsidR="00486DFA">
        <w:rPr>
          <w:rFonts w:ascii="Times New Roman" w:hAnsi="Times New Roman"/>
          <w:sz w:val="28"/>
          <w:szCs w:val="28"/>
          <w:lang w:val="uk-UA"/>
        </w:rPr>
        <w:t xml:space="preserve"> 52/3513 «Про </w:t>
      </w:r>
      <w:r w:rsidRPr="00486DFA">
        <w:rPr>
          <w:rFonts w:ascii="Times New Roman" w:hAnsi="Times New Roman"/>
          <w:sz w:val="28"/>
          <w:szCs w:val="28"/>
          <w:lang w:val="uk-UA"/>
        </w:rPr>
        <w:t>збільшення розміру статутного капіталу та затвердження статуту комунального підприєм</w:t>
      </w:r>
      <w:r w:rsidR="00486DFA">
        <w:rPr>
          <w:rFonts w:ascii="Times New Roman" w:hAnsi="Times New Roman"/>
          <w:sz w:val="28"/>
          <w:szCs w:val="28"/>
          <w:lang w:val="uk-UA"/>
        </w:rPr>
        <w:t>ства Нетішинської міської ради «</w:t>
      </w:r>
      <w:r w:rsidRPr="00486DFA">
        <w:rPr>
          <w:rFonts w:ascii="Times New Roman" w:hAnsi="Times New Roman"/>
          <w:sz w:val="28"/>
          <w:szCs w:val="28"/>
          <w:lang w:val="uk-UA"/>
        </w:rPr>
        <w:t>Агенція місцевого розвитку</w:t>
      </w:r>
      <w:r w:rsidR="00486DFA">
        <w:rPr>
          <w:rFonts w:ascii="Times New Roman" w:hAnsi="Times New Roman"/>
          <w:sz w:val="28"/>
          <w:szCs w:val="28"/>
          <w:lang w:val="uk-UA"/>
        </w:rPr>
        <w:t>» передбачено кошти у розмірі 1</w:t>
      </w:r>
      <w:r w:rsidRPr="00486DFA">
        <w:rPr>
          <w:rFonts w:ascii="Times New Roman" w:hAnsi="Times New Roman"/>
          <w:sz w:val="28"/>
          <w:szCs w:val="28"/>
          <w:lang w:val="uk-UA"/>
        </w:rPr>
        <w:t>00</w:t>
      </w:r>
      <w:r w:rsidR="00C31A29" w:rsidRPr="00486DFA">
        <w:rPr>
          <w:rFonts w:ascii="Times New Roman" w:hAnsi="Times New Roman"/>
          <w:sz w:val="28"/>
          <w:szCs w:val="28"/>
          <w:lang w:val="uk-UA"/>
        </w:rPr>
        <w:t>5</w:t>
      </w:r>
      <w:r w:rsidRPr="00486DFA">
        <w:rPr>
          <w:rFonts w:ascii="Times New Roman" w:hAnsi="Times New Roman"/>
          <w:sz w:val="28"/>
          <w:szCs w:val="28"/>
          <w:lang w:val="uk-UA"/>
        </w:rPr>
        <w:t>000</w:t>
      </w:r>
      <w:r w:rsidR="004E4A20" w:rsidRPr="00486DFA">
        <w:rPr>
          <w:rFonts w:ascii="Times New Roman" w:hAnsi="Times New Roman"/>
          <w:sz w:val="28"/>
          <w:szCs w:val="28"/>
          <w:lang w:val="uk-UA"/>
        </w:rPr>
        <w:t>,00</w:t>
      </w:r>
      <w:r w:rsidR="00A97945" w:rsidRPr="00486DFA">
        <w:rPr>
          <w:rFonts w:ascii="Times New Roman" w:hAnsi="Times New Roman"/>
          <w:sz w:val="28"/>
          <w:szCs w:val="28"/>
          <w:lang w:val="uk-UA"/>
        </w:rPr>
        <w:t xml:space="preserve"> </w:t>
      </w:r>
      <w:r w:rsidRPr="00486DFA">
        <w:rPr>
          <w:rFonts w:ascii="Times New Roman" w:hAnsi="Times New Roman"/>
          <w:sz w:val="28"/>
          <w:szCs w:val="28"/>
          <w:lang w:val="uk-UA"/>
        </w:rPr>
        <w:t>грн для надання комунальним підприємством поворотної фінансової допомоги для підтримки і розвитк</w:t>
      </w:r>
      <w:r w:rsidR="00320103" w:rsidRPr="00486DFA">
        <w:rPr>
          <w:rFonts w:ascii="Times New Roman" w:hAnsi="Times New Roman"/>
          <w:sz w:val="28"/>
          <w:szCs w:val="28"/>
          <w:lang w:val="uk-UA"/>
        </w:rPr>
        <w:t>у житлового фонду міста Нетішин</w:t>
      </w:r>
      <w:r w:rsidR="00A97945" w:rsidRPr="00486DFA">
        <w:rPr>
          <w:rFonts w:ascii="Times New Roman" w:hAnsi="Times New Roman"/>
          <w:sz w:val="28"/>
          <w:szCs w:val="28"/>
          <w:lang w:val="uk-UA"/>
        </w:rPr>
        <w:t xml:space="preserve"> та діяльності ФОП</w:t>
      </w:r>
      <w:r w:rsidR="00486DFA">
        <w:rPr>
          <w:rFonts w:ascii="Times New Roman" w:hAnsi="Times New Roman"/>
          <w:sz w:val="28"/>
          <w:szCs w:val="28"/>
          <w:lang w:val="uk-UA"/>
        </w:rPr>
        <w:t xml:space="preserve">. У </w:t>
      </w:r>
      <w:r w:rsidRPr="00486DFA">
        <w:rPr>
          <w:rFonts w:ascii="Times New Roman" w:hAnsi="Times New Roman"/>
          <w:sz w:val="28"/>
          <w:szCs w:val="28"/>
          <w:lang w:val="uk-UA"/>
        </w:rPr>
        <w:t>202</w:t>
      </w:r>
      <w:r w:rsidR="00AA1DCB" w:rsidRPr="00486DFA">
        <w:rPr>
          <w:rFonts w:ascii="Times New Roman" w:hAnsi="Times New Roman"/>
          <w:sz w:val="28"/>
          <w:szCs w:val="28"/>
          <w:lang w:val="uk-UA"/>
        </w:rPr>
        <w:t>2</w:t>
      </w:r>
      <w:r w:rsidR="00EF7B2A" w:rsidRPr="00486DFA">
        <w:rPr>
          <w:rFonts w:ascii="Times New Roman" w:hAnsi="Times New Roman"/>
          <w:sz w:val="28"/>
          <w:szCs w:val="28"/>
          <w:lang w:val="uk-UA"/>
        </w:rPr>
        <w:t xml:space="preserve"> році</w:t>
      </w:r>
      <w:r w:rsidRPr="00486DFA">
        <w:rPr>
          <w:rFonts w:ascii="Times New Roman" w:hAnsi="Times New Roman"/>
          <w:sz w:val="28"/>
          <w:szCs w:val="28"/>
          <w:lang w:val="uk-UA"/>
        </w:rPr>
        <w:t xml:space="preserve"> </w:t>
      </w:r>
      <w:r w:rsidR="004E4A20" w:rsidRPr="00486DFA">
        <w:rPr>
          <w:rFonts w:ascii="Times New Roman" w:hAnsi="Times New Roman"/>
          <w:bCs/>
          <w:sz w:val="28"/>
          <w:szCs w:val="28"/>
          <w:lang w:val="uk-UA"/>
        </w:rPr>
        <w:t>к</w:t>
      </w:r>
      <w:r w:rsidR="00AA1DCB" w:rsidRPr="00486DFA">
        <w:rPr>
          <w:rFonts w:ascii="Times New Roman" w:hAnsi="Times New Roman"/>
          <w:bCs/>
          <w:sz w:val="28"/>
          <w:szCs w:val="28"/>
          <w:lang w:val="uk-UA"/>
        </w:rPr>
        <w:t xml:space="preserve">ошти з статутного капіталу </w:t>
      </w:r>
      <w:r w:rsidRPr="00486DFA">
        <w:rPr>
          <w:rFonts w:ascii="Times New Roman" w:hAnsi="Times New Roman"/>
          <w:bCs/>
          <w:sz w:val="28"/>
          <w:szCs w:val="28"/>
          <w:lang w:val="uk-UA"/>
        </w:rPr>
        <w:t xml:space="preserve">були розподілені та надані у вигляді поворотної фінансової допомоги </w:t>
      </w:r>
      <w:r w:rsidR="00A97945" w:rsidRPr="00486DFA">
        <w:rPr>
          <w:rFonts w:ascii="Times New Roman" w:hAnsi="Times New Roman"/>
          <w:bCs/>
          <w:sz w:val="28"/>
          <w:szCs w:val="28"/>
          <w:lang w:val="uk-UA"/>
        </w:rPr>
        <w:t>для 18</w:t>
      </w:r>
      <w:r w:rsidRPr="00486DFA">
        <w:rPr>
          <w:rFonts w:ascii="Times New Roman" w:hAnsi="Times New Roman"/>
          <w:bCs/>
          <w:sz w:val="28"/>
          <w:szCs w:val="28"/>
          <w:lang w:val="uk-UA"/>
        </w:rPr>
        <w:t xml:space="preserve"> ОСББ</w:t>
      </w:r>
      <w:r w:rsidR="00A97945" w:rsidRPr="00486DFA">
        <w:rPr>
          <w:rFonts w:ascii="Times New Roman" w:hAnsi="Times New Roman"/>
          <w:bCs/>
          <w:sz w:val="28"/>
          <w:szCs w:val="28"/>
          <w:lang w:val="uk-UA"/>
        </w:rPr>
        <w:t xml:space="preserve"> </w:t>
      </w:r>
      <w:r w:rsidR="00AA1DCB" w:rsidRPr="00486DFA">
        <w:rPr>
          <w:rFonts w:ascii="Times New Roman" w:hAnsi="Times New Roman"/>
          <w:bCs/>
          <w:sz w:val="28"/>
          <w:szCs w:val="28"/>
          <w:lang w:val="uk-UA"/>
        </w:rPr>
        <w:t xml:space="preserve">та </w:t>
      </w:r>
      <w:r w:rsidR="00A97945" w:rsidRPr="00486DFA">
        <w:rPr>
          <w:rFonts w:ascii="Times New Roman" w:hAnsi="Times New Roman"/>
          <w:bCs/>
          <w:sz w:val="28"/>
          <w:szCs w:val="28"/>
          <w:lang w:val="uk-UA"/>
        </w:rPr>
        <w:t xml:space="preserve">для 2 </w:t>
      </w:r>
      <w:r w:rsidR="00AA1DCB" w:rsidRPr="00486DFA">
        <w:rPr>
          <w:rFonts w:ascii="Times New Roman" w:hAnsi="Times New Roman"/>
          <w:bCs/>
          <w:sz w:val="28"/>
          <w:szCs w:val="28"/>
          <w:lang w:val="uk-UA"/>
        </w:rPr>
        <w:t>ФОП</w:t>
      </w:r>
      <w:r w:rsidR="00A97945" w:rsidRPr="00486DFA">
        <w:rPr>
          <w:rFonts w:ascii="Times New Roman" w:hAnsi="Times New Roman"/>
          <w:bCs/>
          <w:sz w:val="28"/>
          <w:szCs w:val="28"/>
          <w:lang w:val="uk-UA"/>
        </w:rPr>
        <w:t xml:space="preserve"> на загальну суму</w:t>
      </w:r>
      <w:r w:rsidR="004E4A20" w:rsidRPr="00486DFA">
        <w:rPr>
          <w:rFonts w:ascii="Times New Roman" w:hAnsi="Times New Roman"/>
          <w:bCs/>
          <w:sz w:val="28"/>
          <w:szCs w:val="28"/>
          <w:lang w:val="uk-UA"/>
        </w:rPr>
        <w:t xml:space="preserve"> 1521546,40 (516546,40 з яких було профінансовано з повернутих платежів)</w:t>
      </w:r>
      <w:r w:rsidRPr="00486DFA">
        <w:rPr>
          <w:rFonts w:ascii="Times New Roman" w:hAnsi="Times New Roman"/>
          <w:bCs/>
          <w:sz w:val="28"/>
          <w:szCs w:val="28"/>
          <w:lang w:val="uk-UA"/>
        </w:rPr>
        <w:t>. На кінець 202</w:t>
      </w:r>
      <w:r w:rsidR="00AA1DCB" w:rsidRPr="00486DFA">
        <w:rPr>
          <w:rFonts w:ascii="Times New Roman" w:hAnsi="Times New Roman"/>
          <w:bCs/>
          <w:sz w:val="28"/>
          <w:szCs w:val="28"/>
          <w:lang w:val="uk-UA"/>
        </w:rPr>
        <w:t>2</w:t>
      </w:r>
      <w:r w:rsidR="00A97945" w:rsidRPr="00486DFA">
        <w:rPr>
          <w:rFonts w:ascii="Times New Roman" w:hAnsi="Times New Roman"/>
          <w:bCs/>
          <w:sz w:val="28"/>
          <w:szCs w:val="28"/>
          <w:lang w:val="uk-UA"/>
        </w:rPr>
        <w:t xml:space="preserve"> року</w:t>
      </w:r>
      <w:r w:rsidRPr="00486DFA">
        <w:rPr>
          <w:rFonts w:ascii="Times New Roman" w:hAnsi="Times New Roman"/>
          <w:bCs/>
          <w:sz w:val="28"/>
          <w:szCs w:val="28"/>
          <w:lang w:val="uk-UA"/>
        </w:rPr>
        <w:t xml:space="preserve"> повернуті </w:t>
      </w:r>
      <w:r w:rsidR="00A97945" w:rsidRPr="00486DFA">
        <w:rPr>
          <w:rFonts w:ascii="Times New Roman" w:hAnsi="Times New Roman"/>
          <w:bCs/>
          <w:sz w:val="28"/>
          <w:szCs w:val="28"/>
          <w:lang w:val="uk-UA"/>
        </w:rPr>
        <w:t xml:space="preserve">кошти від </w:t>
      </w:r>
      <w:r w:rsidRPr="00486DFA">
        <w:rPr>
          <w:rFonts w:ascii="Times New Roman" w:hAnsi="Times New Roman"/>
          <w:bCs/>
          <w:sz w:val="28"/>
          <w:szCs w:val="28"/>
          <w:lang w:val="uk-UA"/>
        </w:rPr>
        <w:t xml:space="preserve">ОСББ </w:t>
      </w:r>
      <w:r w:rsidR="00AA1DCB" w:rsidRPr="00486DFA">
        <w:rPr>
          <w:rFonts w:ascii="Times New Roman" w:hAnsi="Times New Roman"/>
          <w:bCs/>
          <w:sz w:val="28"/>
          <w:szCs w:val="28"/>
          <w:lang w:val="uk-UA"/>
        </w:rPr>
        <w:t>та ФОП</w:t>
      </w:r>
      <w:r w:rsidR="004E4A20" w:rsidRPr="00486DFA">
        <w:rPr>
          <w:rFonts w:ascii="Times New Roman" w:hAnsi="Times New Roman"/>
          <w:bCs/>
          <w:sz w:val="28"/>
          <w:szCs w:val="28"/>
          <w:lang w:val="uk-UA"/>
        </w:rPr>
        <w:t xml:space="preserve"> були</w:t>
      </w:r>
      <w:r w:rsidR="00AA1DCB" w:rsidRPr="00486DFA">
        <w:rPr>
          <w:rFonts w:ascii="Times New Roman" w:hAnsi="Times New Roman"/>
          <w:bCs/>
          <w:sz w:val="28"/>
          <w:szCs w:val="28"/>
          <w:lang w:val="uk-UA"/>
        </w:rPr>
        <w:t xml:space="preserve"> </w:t>
      </w:r>
      <w:r w:rsidRPr="00486DFA">
        <w:rPr>
          <w:rFonts w:ascii="Times New Roman" w:hAnsi="Times New Roman"/>
          <w:bCs/>
          <w:sz w:val="28"/>
          <w:szCs w:val="28"/>
          <w:lang w:val="uk-UA"/>
        </w:rPr>
        <w:t>обліков</w:t>
      </w:r>
      <w:r w:rsidR="004E4A20" w:rsidRPr="00486DFA">
        <w:rPr>
          <w:rFonts w:ascii="Times New Roman" w:hAnsi="Times New Roman"/>
          <w:bCs/>
          <w:sz w:val="28"/>
          <w:szCs w:val="28"/>
          <w:lang w:val="uk-UA"/>
        </w:rPr>
        <w:t>ані</w:t>
      </w:r>
      <w:r w:rsidRPr="00486DFA">
        <w:rPr>
          <w:rFonts w:ascii="Times New Roman" w:hAnsi="Times New Roman"/>
          <w:bCs/>
          <w:sz w:val="28"/>
          <w:szCs w:val="28"/>
          <w:lang w:val="uk-UA"/>
        </w:rPr>
        <w:t xml:space="preserve"> на розрахунковому рахунку підприємства.</w:t>
      </w:r>
    </w:p>
    <w:p w:rsidR="000B390E" w:rsidRPr="00486DFA" w:rsidRDefault="000B390E" w:rsidP="00486DFA">
      <w:pPr>
        <w:tabs>
          <w:tab w:val="left" w:pos="0"/>
        </w:tabs>
        <w:spacing w:after="0"/>
        <w:ind w:firstLine="567"/>
        <w:jc w:val="both"/>
        <w:rPr>
          <w:rFonts w:ascii="Times New Roman" w:hAnsi="Times New Roman"/>
          <w:bCs/>
          <w:sz w:val="28"/>
          <w:szCs w:val="28"/>
          <w:lang w:val="uk-UA"/>
        </w:rPr>
      </w:pPr>
      <w:r w:rsidRPr="00486DFA">
        <w:rPr>
          <w:rFonts w:ascii="Times New Roman" w:hAnsi="Times New Roman"/>
          <w:bCs/>
          <w:sz w:val="28"/>
          <w:szCs w:val="28"/>
          <w:lang w:val="uk-UA"/>
        </w:rPr>
        <w:t>Перевиконання плану</w:t>
      </w:r>
      <w:r w:rsidR="0024178B" w:rsidRPr="00486DFA">
        <w:rPr>
          <w:rFonts w:ascii="Times New Roman" w:hAnsi="Times New Roman"/>
          <w:bCs/>
          <w:sz w:val="28"/>
          <w:szCs w:val="28"/>
          <w:lang w:val="uk-UA"/>
        </w:rPr>
        <w:t xml:space="preserve"> </w:t>
      </w:r>
      <w:r w:rsidR="00766CA7" w:rsidRPr="00486DFA">
        <w:rPr>
          <w:rFonts w:ascii="Times New Roman" w:hAnsi="Times New Roman"/>
          <w:bCs/>
          <w:sz w:val="28"/>
          <w:szCs w:val="28"/>
          <w:lang w:val="uk-UA"/>
        </w:rPr>
        <w:t xml:space="preserve">на </w:t>
      </w:r>
      <w:r w:rsidR="0024178B" w:rsidRPr="00486DFA">
        <w:rPr>
          <w:rFonts w:ascii="Times New Roman" w:hAnsi="Times New Roman"/>
          <w:bCs/>
          <w:sz w:val="28"/>
          <w:szCs w:val="28"/>
          <w:lang w:val="uk-UA"/>
        </w:rPr>
        <w:t>102,9% або на 2,7 тис. грн</w:t>
      </w:r>
      <w:r w:rsidR="00766CA7" w:rsidRPr="00486DFA">
        <w:rPr>
          <w:rFonts w:ascii="Times New Roman" w:hAnsi="Times New Roman"/>
          <w:bCs/>
          <w:sz w:val="28"/>
          <w:szCs w:val="28"/>
          <w:lang w:val="uk-UA"/>
        </w:rPr>
        <w:t xml:space="preserve"> від</w:t>
      </w:r>
      <w:r w:rsidR="0024178B" w:rsidRPr="00486DFA">
        <w:rPr>
          <w:rFonts w:ascii="Times New Roman" w:hAnsi="Times New Roman"/>
          <w:bCs/>
          <w:sz w:val="28"/>
          <w:szCs w:val="28"/>
          <w:lang w:val="uk-UA"/>
        </w:rPr>
        <w:t xml:space="preserve"> запланованого</w:t>
      </w:r>
      <w:r w:rsidRPr="00486DFA">
        <w:rPr>
          <w:rFonts w:ascii="Times New Roman" w:hAnsi="Times New Roman"/>
          <w:bCs/>
          <w:sz w:val="28"/>
          <w:szCs w:val="28"/>
          <w:lang w:val="uk-UA"/>
        </w:rPr>
        <w:t xml:space="preserve"> (таблиця 1) І Формування фінансових результатів, в рядку 1044</w:t>
      </w:r>
      <w:r w:rsidR="00766CA7" w:rsidRPr="00486DFA">
        <w:rPr>
          <w:rFonts w:ascii="Times New Roman" w:hAnsi="Times New Roman"/>
          <w:bCs/>
          <w:sz w:val="28"/>
          <w:szCs w:val="28"/>
          <w:lang w:val="uk-UA"/>
        </w:rPr>
        <w:t>,</w:t>
      </w:r>
      <w:r w:rsidRPr="00486DFA">
        <w:rPr>
          <w:rFonts w:ascii="Times New Roman" w:hAnsi="Times New Roman"/>
          <w:bCs/>
          <w:sz w:val="28"/>
          <w:szCs w:val="28"/>
          <w:lang w:val="uk-UA"/>
        </w:rPr>
        <w:t xml:space="preserve"> </w:t>
      </w:r>
      <w:r w:rsidR="00766CA7" w:rsidRPr="00486DFA">
        <w:rPr>
          <w:rFonts w:ascii="Times New Roman" w:hAnsi="Times New Roman"/>
          <w:bCs/>
          <w:sz w:val="28"/>
          <w:szCs w:val="28"/>
          <w:lang w:val="uk-UA"/>
        </w:rPr>
        <w:t>зумовлено</w:t>
      </w:r>
      <w:r w:rsidRPr="00486DFA">
        <w:rPr>
          <w:rFonts w:ascii="Times New Roman" w:hAnsi="Times New Roman"/>
          <w:bCs/>
          <w:sz w:val="28"/>
          <w:szCs w:val="28"/>
          <w:lang w:val="uk-UA"/>
        </w:rPr>
        <w:t xml:space="preserve"> тим, що коштів на відшкодування комунальних послуг не вистачило, </w:t>
      </w:r>
      <w:r w:rsidR="0024178B" w:rsidRPr="00486DFA">
        <w:rPr>
          <w:rFonts w:ascii="Times New Roman" w:hAnsi="Times New Roman"/>
          <w:bCs/>
          <w:sz w:val="28"/>
          <w:szCs w:val="28"/>
          <w:lang w:val="uk-UA"/>
        </w:rPr>
        <w:t>а на послуги модератора рядок 1051/2 планом було передбачено 12,7 тис. грн, які не були використані протягом року</w:t>
      </w:r>
      <w:r w:rsidR="00766CA7" w:rsidRPr="00486DFA">
        <w:rPr>
          <w:rFonts w:ascii="Times New Roman" w:hAnsi="Times New Roman"/>
          <w:bCs/>
          <w:sz w:val="28"/>
          <w:szCs w:val="28"/>
          <w:lang w:val="uk-UA"/>
        </w:rPr>
        <w:t>,</w:t>
      </w:r>
      <w:r w:rsidR="0024178B" w:rsidRPr="00486DFA">
        <w:rPr>
          <w:rFonts w:ascii="Times New Roman" w:hAnsi="Times New Roman"/>
          <w:bCs/>
          <w:sz w:val="28"/>
          <w:szCs w:val="28"/>
          <w:lang w:val="uk-UA"/>
        </w:rPr>
        <w:t xml:space="preserve"> тому з цих коштів було переміщення на суму </w:t>
      </w:r>
      <w:r w:rsidR="005A6BCD">
        <w:rPr>
          <w:rFonts w:ascii="Times New Roman" w:hAnsi="Times New Roman"/>
          <w:bCs/>
          <w:sz w:val="28"/>
          <w:szCs w:val="28"/>
          <w:lang w:val="uk-UA"/>
        </w:rPr>
        <w:t xml:space="preserve">              </w:t>
      </w:r>
      <w:r w:rsidR="0024178B" w:rsidRPr="00486DFA">
        <w:rPr>
          <w:rFonts w:ascii="Times New Roman" w:hAnsi="Times New Roman"/>
          <w:bCs/>
          <w:sz w:val="28"/>
          <w:szCs w:val="28"/>
          <w:lang w:val="uk-UA"/>
        </w:rPr>
        <w:t>2,7 тис. гр</w:t>
      </w:r>
      <w:r w:rsidR="005A6BCD">
        <w:rPr>
          <w:rFonts w:ascii="Times New Roman" w:hAnsi="Times New Roman"/>
          <w:bCs/>
          <w:sz w:val="28"/>
          <w:szCs w:val="28"/>
          <w:lang w:val="uk-UA"/>
        </w:rPr>
        <w:t>ивень</w:t>
      </w:r>
      <w:r w:rsidR="0024178B" w:rsidRPr="00486DFA">
        <w:rPr>
          <w:rFonts w:ascii="Times New Roman" w:hAnsi="Times New Roman"/>
          <w:bCs/>
          <w:sz w:val="28"/>
          <w:szCs w:val="28"/>
          <w:lang w:val="uk-UA"/>
        </w:rPr>
        <w:t xml:space="preserve">. </w:t>
      </w:r>
    </w:p>
    <w:p w:rsidR="00092927" w:rsidRDefault="00092927" w:rsidP="005A6BCD">
      <w:pPr>
        <w:pStyle w:val="a4"/>
        <w:widowControl w:val="0"/>
        <w:shd w:val="clear" w:color="auto" w:fill="FFFFFF"/>
        <w:spacing w:before="0" w:beforeAutospacing="0" w:after="0" w:afterAutospacing="0"/>
        <w:jc w:val="both"/>
        <w:rPr>
          <w:sz w:val="28"/>
          <w:szCs w:val="28"/>
          <w:lang w:val="uk-UA"/>
        </w:rPr>
      </w:pPr>
    </w:p>
    <w:p w:rsidR="005A6BCD" w:rsidRDefault="005A6BCD" w:rsidP="005A6BCD">
      <w:pPr>
        <w:pStyle w:val="a4"/>
        <w:widowControl w:val="0"/>
        <w:shd w:val="clear" w:color="auto" w:fill="FFFFFF"/>
        <w:spacing w:before="0" w:beforeAutospacing="0" w:after="0" w:afterAutospacing="0"/>
        <w:jc w:val="both"/>
        <w:rPr>
          <w:sz w:val="28"/>
          <w:szCs w:val="28"/>
          <w:lang w:val="uk-UA"/>
        </w:rPr>
      </w:pPr>
    </w:p>
    <w:p w:rsidR="005A6BCD" w:rsidRPr="00486DFA" w:rsidRDefault="005A6BCD" w:rsidP="005A6BCD">
      <w:pPr>
        <w:pStyle w:val="a4"/>
        <w:widowControl w:val="0"/>
        <w:shd w:val="clear" w:color="auto" w:fill="FFFFFF"/>
        <w:spacing w:before="0" w:beforeAutospacing="0" w:after="0" w:afterAutospacing="0"/>
        <w:jc w:val="both"/>
        <w:rPr>
          <w:sz w:val="28"/>
          <w:szCs w:val="28"/>
          <w:lang w:val="uk-UA"/>
        </w:rPr>
      </w:pPr>
    </w:p>
    <w:p w:rsidR="00092927" w:rsidRPr="00486DFA" w:rsidRDefault="00092927" w:rsidP="00486DFA">
      <w:pPr>
        <w:spacing w:after="0"/>
        <w:rPr>
          <w:rFonts w:ascii="Times New Roman" w:hAnsi="Times New Roman"/>
          <w:b/>
          <w:sz w:val="28"/>
          <w:szCs w:val="28"/>
          <w:lang w:val="uk-UA"/>
        </w:rPr>
      </w:pPr>
      <w:r w:rsidRPr="00486DFA">
        <w:rPr>
          <w:rFonts w:ascii="Times New Roman" w:hAnsi="Times New Roman"/>
          <w:sz w:val="28"/>
          <w:szCs w:val="28"/>
          <w:lang w:val="uk-UA"/>
        </w:rPr>
        <w:t>Директор</w:t>
      </w:r>
      <w:r w:rsidRPr="00486DFA">
        <w:rPr>
          <w:rFonts w:ascii="Times New Roman" w:hAnsi="Times New Roman"/>
          <w:sz w:val="28"/>
          <w:szCs w:val="28"/>
          <w:lang w:val="uk-UA"/>
        </w:rPr>
        <w:tab/>
      </w:r>
      <w:r w:rsidRPr="00486DFA">
        <w:rPr>
          <w:rFonts w:ascii="Times New Roman" w:hAnsi="Times New Roman"/>
          <w:sz w:val="28"/>
          <w:szCs w:val="28"/>
          <w:lang w:val="uk-UA"/>
        </w:rPr>
        <w:tab/>
      </w:r>
      <w:r w:rsidRPr="00486DFA">
        <w:rPr>
          <w:rFonts w:ascii="Times New Roman" w:hAnsi="Times New Roman"/>
          <w:sz w:val="28"/>
          <w:szCs w:val="28"/>
          <w:lang w:val="uk-UA"/>
        </w:rPr>
        <w:tab/>
      </w:r>
      <w:r w:rsidRPr="00486DFA">
        <w:rPr>
          <w:rFonts w:ascii="Times New Roman" w:hAnsi="Times New Roman"/>
          <w:sz w:val="28"/>
          <w:szCs w:val="28"/>
          <w:lang w:val="uk-UA"/>
        </w:rPr>
        <w:tab/>
      </w:r>
      <w:r w:rsidRPr="00486DFA">
        <w:rPr>
          <w:rFonts w:ascii="Times New Roman" w:hAnsi="Times New Roman"/>
          <w:sz w:val="28"/>
          <w:szCs w:val="28"/>
          <w:lang w:val="uk-UA"/>
        </w:rPr>
        <w:tab/>
      </w:r>
      <w:r w:rsidR="005A6BCD">
        <w:rPr>
          <w:rFonts w:ascii="Times New Roman" w:hAnsi="Times New Roman"/>
          <w:sz w:val="28"/>
          <w:szCs w:val="28"/>
          <w:lang w:val="uk-UA"/>
        </w:rPr>
        <w:tab/>
      </w:r>
      <w:r w:rsidR="005A6BCD">
        <w:rPr>
          <w:rFonts w:ascii="Times New Roman" w:hAnsi="Times New Roman"/>
          <w:sz w:val="28"/>
          <w:szCs w:val="28"/>
          <w:lang w:val="uk-UA"/>
        </w:rPr>
        <w:tab/>
      </w:r>
      <w:r w:rsidR="005A6BCD">
        <w:rPr>
          <w:rFonts w:ascii="Times New Roman" w:hAnsi="Times New Roman"/>
          <w:sz w:val="28"/>
          <w:szCs w:val="28"/>
          <w:lang w:val="uk-UA"/>
        </w:rPr>
        <w:tab/>
      </w:r>
      <w:bookmarkStart w:id="0" w:name="_GoBack"/>
      <w:bookmarkEnd w:id="0"/>
      <w:r w:rsidR="00AA1DCB" w:rsidRPr="00486DFA">
        <w:rPr>
          <w:rFonts w:ascii="Times New Roman" w:hAnsi="Times New Roman"/>
          <w:sz w:val="28"/>
          <w:szCs w:val="28"/>
          <w:lang w:val="uk-UA"/>
        </w:rPr>
        <w:t xml:space="preserve">Ірина </w:t>
      </w:r>
      <w:r w:rsidR="004E4A20" w:rsidRPr="00486DFA">
        <w:rPr>
          <w:rFonts w:ascii="Times New Roman" w:hAnsi="Times New Roman"/>
          <w:sz w:val="28"/>
          <w:szCs w:val="28"/>
          <w:lang w:val="uk-UA"/>
        </w:rPr>
        <w:t>АНДРУЩЕНКО</w:t>
      </w:r>
    </w:p>
    <w:sectPr w:rsidR="00092927" w:rsidRPr="00486DFA" w:rsidSect="00DB3A67">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291B2B47"/>
    <w:multiLevelType w:val="hybridMultilevel"/>
    <w:tmpl w:val="5D06163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C2830ED"/>
    <w:multiLevelType w:val="hybridMultilevel"/>
    <w:tmpl w:val="6CC6689C"/>
    <w:lvl w:ilvl="0" w:tplc="4BDA631A">
      <w:numFmt w:val="bullet"/>
      <w:lvlText w:val="-"/>
      <w:lvlJc w:val="left"/>
      <w:pPr>
        <w:ind w:left="720" w:hanging="360"/>
      </w:pPr>
      <w:rPr>
        <w:rFonts w:ascii="Tahoma" w:eastAsia="Times New Roman" w:hAnsi="Tahom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615"/>
    <w:rsid w:val="00027399"/>
    <w:rsid w:val="000370BC"/>
    <w:rsid w:val="00083D23"/>
    <w:rsid w:val="00085995"/>
    <w:rsid w:val="00092927"/>
    <w:rsid w:val="00096556"/>
    <w:rsid w:val="000A3FB4"/>
    <w:rsid w:val="000B390E"/>
    <w:rsid w:val="000B52A0"/>
    <w:rsid w:val="000D5F64"/>
    <w:rsid w:val="00117946"/>
    <w:rsid w:val="0017430B"/>
    <w:rsid w:val="0018025E"/>
    <w:rsid w:val="001E53DD"/>
    <w:rsid w:val="0024178B"/>
    <w:rsid w:val="0026385C"/>
    <w:rsid w:val="002879B8"/>
    <w:rsid w:val="002B4655"/>
    <w:rsid w:val="002F3E04"/>
    <w:rsid w:val="003051D9"/>
    <w:rsid w:val="00320103"/>
    <w:rsid w:val="003459AD"/>
    <w:rsid w:val="00350F4C"/>
    <w:rsid w:val="00380C5D"/>
    <w:rsid w:val="004056DD"/>
    <w:rsid w:val="0043237D"/>
    <w:rsid w:val="00466CA3"/>
    <w:rsid w:val="00486DFA"/>
    <w:rsid w:val="00493C4D"/>
    <w:rsid w:val="004972CD"/>
    <w:rsid w:val="004C6A69"/>
    <w:rsid w:val="004E4A20"/>
    <w:rsid w:val="005120F2"/>
    <w:rsid w:val="00546D9E"/>
    <w:rsid w:val="00550753"/>
    <w:rsid w:val="005670D5"/>
    <w:rsid w:val="005761E9"/>
    <w:rsid w:val="0059502E"/>
    <w:rsid w:val="005A6BCD"/>
    <w:rsid w:val="005D183E"/>
    <w:rsid w:val="00611AD1"/>
    <w:rsid w:val="00630F99"/>
    <w:rsid w:val="00682A74"/>
    <w:rsid w:val="0068326F"/>
    <w:rsid w:val="00695835"/>
    <w:rsid w:val="006A6615"/>
    <w:rsid w:val="006C2AAC"/>
    <w:rsid w:val="006D7A83"/>
    <w:rsid w:val="007346FC"/>
    <w:rsid w:val="0074526E"/>
    <w:rsid w:val="00766CA7"/>
    <w:rsid w:val="007C512C"/>
    <w:rsid w:val="00844D37"/>
    <w:rsid w:val="008471FC"/>
    <w:rsid w:val="008B26A7"/>
    <w:rsid w:val="008F66C3"/>
    <w:rsid w:val="009264DD"/>
    <w:rsid w:val="00930B18"/>
    <w:rsid w:val="0094795E"/>
    <w:rsid w:val="00972151"/>
    <w:rsid w:val="0098048D"/>
    <w:rsid w:val="00991E1C"/>
    <w:rsid w:val="009F26A9"/>
    <w:rsid w:val="00A10260"/>
    <w:rsid w:val="00A347D1"/>
    <w:rsid w:val="00A37901"/>
    <w:rsid w:val="00A97945"/>
    <w:rsid w:val="00AA1DCB"/>
    <w:rsid w:val="00AA2105"/>
    <w:rsid w:val="00AF5FEA"/>
    <w:rsid w:val="00B01166"/>
    <w:rsid w:val="00B117F8"/>
    <w:rsid w:val="00B11EE1"/>
    <w:rsid w:val="00B24420"/>
    <w:rsid w:val="00B60D1D"/>
    <w:rsid w:val="00BA4F18"/>
    <w:rsid w:val="00BC3524"/>
    <w:rsid w:val="00BE2353"/>
    <w:rsid w:val="00C22F3D"/>
    <w:rsid w:val="00C253DB"/>
    <w:rsid w:val="00C31A29"/>
    <w:rsid w:val="00C3405A"/>
    <w:rsid w:val="00C3697C"/>
    <w:rsid w:val="00C519D4"/>
    <w:rsid w:val="00CB669C"/>
    <w:rsid w:val="00CE1D21"/>
    <w:rsid w:val="00D85E4B"/>
    <w:rsid w:val="00DB3A67"/>
    <w:rsid w:val="00DC16A1"/>
    <w:rsid w:val="00DC1F8F"/>
    <w:rsid w:val="00E21C7F"/>
    <w:rsid w:val="00E550CF"/>
    <w:rsid w:val="00E90C10"/>
    <w:rsid w:val="00E91F0C"/>
    <w:rsid w:val="00EA5D9D"/>
    <w:rsid w:val="00EC489B"/>
    <w:rsid w:val="00EF7B2A"/>
    <w:rsid w:val="00F62E81"/>
    <w:rsid w:val="00F65B22"/>
    <w:rsid w:val="00FB5703"/>
    <w:rsid w:val="00FD57E6"/>
    <w:rsid w:val="00FD7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139BB"/>
  <w15:docId w15:val="{347AB595-6953-4B13-91A6-F35ACB20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69C"/>
    <w:pPr>
      <w:spacing w:after="200"/>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6A6615"/>
    <w:rPr>
      <w:rFonts w:cs="Times New Roman"/>
      <w:b/>
      <w:bCs/>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rsid w:val="006A6615"/>
    <w:pPr>
      <w:spacing w:before="100" w:beforeAutospacing="1" w:after="100" w:afterAutospacing="1"/>
    </w:pPr>
    <w:rPr>
      <w:rFonts w:ascii="Times New Roman" w:hAnsi="Times New Roman"/>
      <w:sz w:val="24"/>
      <w:szCs w:val="24"/>
    </w:rPr>
  </w:style>
  <w:style w:type="paragraph" w:styleId="a5">
    <w:name w:val="List Paragraph"/>
    <w:basedOn w:val="a"/>
    <w:uiPriority w:val="99"/>
    <w:qFormat/>
    <w:rsid w:val="00493C4D"/>
    <w:pPr>
      <w:ind w:left="720"/>
      <w:contextualSpacing/>
    </w:pPr>
  </w:style>
  <w:style w:type="paragraph" w:styleId="a6">
    <w:name w:val="Body Text"/>
    <w:basedOn w:val="a"/>
    <w:link w:val="a7"/>
    <w:uiPriority w:val="99"/>
    <w:rsid w:val="00B60D1D"/>
    <w:pPr>
      <w:spacing w:after="0"/>
      <w:jc w:val="both"/>
    </w:pPr>
    <w:rPr>
      <w:rFonts w:ascii="Times New Roman" w:hAnsi="Times New Roman"/>
      <w:sz w:val="28"/>
      <w:szCs w:val="20"/>
      <w:lang w:val="en-US"/>
    </w:rPr>
  </w:style>
  <w:style w:type="character" w:customStyle="1" w:styleId="a7">
    <w:name w:val="Основной текст Знак"/>
    <w:link w:val="a6"/>
    <w:uiPriority w:val="99"/>
    <w:locked/>
    <w:rsid w:val="00B60D1D"/>
    <w:rPr>
      <w:rFonts w:ascii="Times New Roman" w:hAnsi="Times New Roman" w:cs="Times New Roman"/>
      <w:sz w:val="20"/>
      <w:szCs w:val="20"/>
      <w:lang w:val="en-US"/>
    </w:rPr>
  </w:style>
  <w:style w:type="paragraph" w:customStyle="1" w:styleId="ListParagraph1">
    <w:name w:val="List Paragraph1"/>
    <w:basedOn w:val="a"/>
    <w:uiPriority w:val="99"/>
    <w:rsid w:val="00EC489B"/>
    <w:pPr>
      <w:spacing w:after="160" w:line="256" w:lineRule="auto"/>
      <w:ind w:left="720"/>
      <w:contextualSpacing/>
    </w:pPr>
    <w:rPr>
      <w:lang w:eastAsia="en-US"/>
    </w:rPr>
  </w:style>
  <w:style w:type="paragraph" w:styleId="a8">
    <w:name w:val="Balloon Text"/>
    <w:basedOn w:val="a"/>
    <w:link w:val="a9"/>
    <w:uiPriority w:val="99"/>
    <w:semiHidden/>
    <w:unhideWhenUsed/>
    <w:rsid w:val="00096556"/>
    <w:pPr>
      <w:spacing w:after="0"/>
    </w:pPr>
    <w:rPr>
      <w:rFonts w:ascii="Segoe UI" w:hAnsi="Segoe UI" w:cs="Segoe UI"/>
      <w:sz w:val="18"/>
      <w:szCs w:val="18"/>
    </w:rPr>
  </w:style>
  <w:style w:type="character" w:customStyle="1" w:styleId="a9">
    <w:name w:val="Текст выноски Знак"/>
    <w:link w:val="a8"/>
    <w:uiPriority w:val="99"/>
    <w:semiHidden/>
    <w:rsid w:val="00096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321134">
      <w:marLeft w:val="0"/>
      <w:marRight w:val="0"/>
      <w:marTop w:val="0"/>
      <w:marBottom w:val="0"/>
      <w:divBdr>
        <w:top w:val="none" w:sz="0" w:space="0" w:color="auto"/>
        <w:left w:val="none" w:sz="0" w:space="0" w:color="auto"/>
        <w:bottom w:val="none" w:sz="0" w:space="0" w:color="auto"/>
        <w:right w:val="none" w:sz="0" w:space="0" w:color="auto"/>
      </w:divBdr>
    </w:div>
    <w:div w:id="1918321135">
      <w:marLeft w:val="0"/>
      <w:marRight w:val="0"/>
      <w:marTop w:val="0"/>
      <w:marBottom w:val="0"/>
      <w:divBdr>
        <w:top w:val="none" w:sz="0" w:space="0" w:color="auto"/>
        <w:left w:val="none" w:sz="0" w:space="0" w:color="auto"/>
        <w:bottom w:val="none" w:sz="0" w:space="0" w:color="auto"/>
        <w:right w:val="none" w:sz="0" w:space="0" w:color="auto"/>
      </w:divBdr>
    </w:div>
    <w:div w:id="1918321136">
      <w:marLeft w:val="0"/>
      <w:marRight w:val="0"/>
      <w:marTop w:val="0"/>
      <w:marBottom w:val="0"/>
      <w:divBdr>
        <w:top w:val="none" w:sz="0" w:space="0" w:color="auto"/>
        <w:left w:val="none" w:sz="0" w:space="0" w:color="auto"/>
        <w:bottom w:val="none" w:sz="0" w:space="0" w:color="auto"/>
        <w:right w:val="none" w:sz="0" w:space="0" w:color="auto"/>
      </w:divBdr>
    </w:div>
    <w:div w:id="1918321137">
      <w:marLeft w:val="0"/>
      <w:marRight w:val="0"/>
      <w:marTop w:val="0"/>
      <w:marBottom w:val="0"/>
      <w:divBdr>
        <w:top w:val="none" w:sz="0" w:space="0" w:color="auto"/>
        <w:left w:val="none" w:sz="0" w:space="0" w:color="auto"/>
        <w:bottom w:val="none" w:sz="0" w:space="0" w:color="auto"/>
        <w:right w:val="none" w:sz="0" w:space="0" w:color="auto"/>
      </w:divBdr>
    </w:div>
    <w:div w:id="1918321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2</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USER</cp:lastModifiedBy>
  <cp:revision>22</cp:revision>
  <cp:lastPrinted>2022-02-09T07:49:00Z</cp:lastPrinted>
  <dcterms:created xsi:type="dcterms:W3CDTF">2021-01-16T08:48:00Z</dcterms:created>
  <dcterms:modified xsi:type="dcterms:W3CDTF">2023-03-03T08:11:00Z</dcterms:modified>
</cp:coreProperties>
</file>