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B6" w:rsidRPr="00084883" w:rsidRDefault="00650A49" w:rsidP="00650A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84883">
        <w:rPr>
          <w:rFonts w:ascii="Times New Roman" w:hAnsi="Times New Roman"/>
          <w:b/>
          <w:sz w:val="26"/>
          <w:szCs w:val="26"/>
          <w:lang w:val="uk-UA"/>
        </w:rPr>
        <w:t>ПОЯСНЮВАЛЬНА ЗАПИСКА</w:t>
      </w:r>
    </w:p>
    <w:p w:rsidR="00CD48B6" w:rsidRPr="00084883" w:rsidRDefault="00650A49" w:rsidP="00650A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84883">
        <w:rPr>
          <w:rFonts w:ascii="Times New Roman" w:hAnsi="Times New Roman"/>
          <w:b/>
          <w:i/>
          <w:sz w:val="26"/>
          <w:szCs w:val="26"/>
          <w:lang w:val="uk-UA"/>
        </w:rPr>
        <w:t>д</w:t>
      </w:r>
      <w:r w:rsidR="00CD48B6" w:rsidRPr="00084883">
        <w:rPr>
          <w:rFonts w:ascii="Times New Roman" w:hAnsi="Times New Roman"/>
          <w:b/>
          <w:i/>
          <w:sz w:val="26"/>
          <w:szCs w:val="26"/>
          <w:lang w:val="uk-UA"/>
        </w:rPr>
        <w:t xml:space="preserve">о звіту про виконання фінансового плану КП </w:t>
      </w:r>
      <w:r w:rsidR="00CD48B6" w:rsidRPr="00084883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 xml:space="preserve">НМР «Комфорт» </w:t>
      </w:r>
      <w:r w:rsidR="00CD48B6" w:rsidRPr="00084883">
        <w:rPr>
          <w:rFonts w:ascii="Times New Roman" w:hAnsi="Times New Roman"/>
          <w:b/>
          <w:sz w:val="26"/>
          <w:szCs w:val="26"/>
          <w:lang w:val="uk-UA"/>
        </w:rPr>
        <w:t>за 2021</w:t>
      </w:r>
      <w:r w:rsidRPr="00084883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650A49" w:rsidRPr="00084883" w:rsidRDefault="00650A49" w:rsidP="00650A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D48B6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Підпри</w:t>
      </w:r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ємство засноване на комунальній формі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власност</w:t>
      </w:r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і територіальної громади міста </w:t>
      </w:r>
      <w:proofErr w:type="spellStart"/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>Нетішин</w:t>
      </w:r>
      <w:proofErr w:type="spellEnd"/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і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входить до сфери </w:t>
      </w:r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управління </w:t>
      </w:r>
      <w:proofErr w:type="spellStart"/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>Нетішинської</w:t>
      </w:r>
      <w:proofErr w:type="spellEnd"/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міської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>ради. Підприємство відноситься до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малих підприємств. Діяльніст</w:t>
      </w:r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ь КП НМР «Комфорт» здійснює на підставі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Ст</w:t>
      </w:r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атуту. Вид економічної діяльності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з</w:t>
      </w:r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гідно КВЕД: 93.29 Організування інших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видів відпочинку та розваг.</w:t>
      </w:r>
    </w:p>
    <w:p w:rsidR="00CD48B6" w:rsidRPr="00084883" w:rsidRDefault="00650A49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Наданий на затвердження звіт про виконання фінансового плану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КП НМР «Комфорт» 2021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рік сформований на базі прогнозних розрахунків за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2021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р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ік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, фактичних даних 2021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2020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р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оків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, нормативних документів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, діючих та прогнозних розцінок на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виконання робіт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(посл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уг), матеріалів, енергоносіїв,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рівня інфляції, тощо). </w:t>
      </w:r>
    </w:p>
    <w:p w:rsidR="00650A49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>У 2021</w:t>
      </w:r>
      <w:r w:rsidR="00650A49" w:rsidRPr="00084883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 xml:space="preserve"> </w:t>
      </w:r>
      <w:r w:rsidRPr="00084883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>р</w:t>
      </w:r>
      <w:r w:rsidR="00650A49" w:rsidRPr="00084883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>оці</w:t>
      </w:r>
      <w:r w:rsidRPr="00084883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 xml:space="preserve"> КП </w:t>
      </w:r>
      <w:r w:rsidR="00650A49" w:rsidRPr="00084883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>НМР «Комфорт» фактично отримано</w:t>
      </w:r>
      <w:r w:rsidRPr="00084883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 xml:space="preserve"> іншого операційного доходу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рядок 1070</w:t>
      </w:r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(основної таблиці) в </w:t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сумі 8778,0</w:t>
      </w:r>
      <w:r w:rsidR="00650A49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="00650A49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тис.</w:t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грн</w:t>
      </w:r>
      <w:proofErr w:type="spellEnd"/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, </w:t>
      </w:r>
      <w:r w:rsidR="00650A49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до складу якого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доходу входять:</w:t>
      </w:r>
    </w:p>
    <w:p w:rsidR="00650A49" w:rsidRPr="00084883" w:rsidRDefault="00650A49" w:rsidP="00650A4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- кошти отримані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від місцево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го бюджету відповідно Програми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благоустрою </w:t>
      </w:r>
      <w:proofErr w:type="spellStart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Нетішинської</w:t>
      </w:r>
      <w:proofErr w:type="spellEnd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міської ОТГ на 2020-2022 роки. 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в сумі 7775,0 тис. грн:</w:t>
      </w:r>
    </w:p>
    <w:p w:rsidR="00650A49" w:rsidRPr="00084883" w:rsidRDefault="00650A49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поточні видатки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7550,0 тис. грн;</w:t>
      </w:r>
    </w:p>
    <w:p w:rsidR="00650A49" w:rsidRPr="00084883" w:rsidRDefault="00650A49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капітальні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видатки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  <w:t>225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,0 тис. грн;</w:t>
      </w:r>
    </w:p>
    <w:p w:rsidR="00650A49" w:rsidRPr="00084883" w:rsidRDefault="00650A49" w:rsidP="00650A4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pacing w:val="-4"/>
          <w:sz w:val="26"/>
          <w:szCs w:val="26"/>
          <w:lang w:val="uk-UA"/>
        </w:rPr>
        <w:t xml:space="preserve">- кошти, що надійшли від інших дебіторів за наданні транспортні </w:t>
      </w:r>
      <w:r w:rsidR="00CD48B6" w:rsidRPr="00084883">
        <w:rPr>
          <w:rFonts w:ascii="Times New Roman" w:hAnsi="Times New Roman"/>
          <w:color w:val="000000"/>
          <w:spacing w:val="-4"/>
          <w:sz w:val="26"/>
          <w:szCs w:val="26"/>
          <w:lang w:val="uk-UA"/>
        </w:rPr>
        <w:t>послуги, па</w:t>
      </w:r>
      <w:r w:rsidRPr="00084883">
        <w:rPr>
          <w:rFonts w:ascii="Times New Roman" w:hAnsi="Times New Roman"/>
          <w:color w:val="000000"/>
          <w:spacing w:val="-4"/>
          <w:sz w:val="26"/>
          <w:szCs w:val="26"/>
          <w:lang w:val="uk-UA"/>
        </w:rPr>
        <w:t>йову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84883">
        <w:rPr>
          <w:rFonts w:ascii="Times New Roman" w:hAnsi="Times New Roman"/>
          <w:color w:val="000000"/>
          <w:spacing w:val="-4"/>
          <w:sz w:val="26"/>
          <w:szCs w:val="26"/>
          <w:lang w:val="uk-UA"/>
        </w:rPr>
        <w:t xml:space="preserve">участь, послуги земельного сервітуту, послуги прибирання </w:t>
      </w:r>
      <w:r w:rsidR="00CD48B6" w:rsidRPr="00084883">
        <w:rPr>
          <w:rFonts w:ascii="Times New Roman" w:hAnsi="Times New Roman"/>
          <w:color w:val="000000"/>
          <w:spacing w:val="-4"/>
          <w:sz w:val="26"/>
          <w:szCs w:val="26"/>
          <w:lang w:val="uk-UA"/>
        </w:rPr>
        <w:t>території</w:t>
      </w:r>
      <w:r w:rsidRPr="00084883">
        <w:rPr>
          <w:rFonts w:ascii="Times New Roman" w:hAnsi="Times New Roman"/>
          <w:color w:val="000000"/>
          <w:spacing w:val="-4"/>
          <w:sz w:val="26"/>
          <w:szCs w:val="26"/>
          <w:lang w:val="uk-UA"/>
        </w:rPr>
        <w:t xml:space="preserve"> в с</w:t>
      </w:r>
      <w:r w:rsidR="00CD48B6" w:rsidRPr="00084883">
        <w:rPr>
          <w:rFonts w:ascii="Times New Roman" w:hAnsi="Times New Roman"/>
          <w:color w:val="000000"/>
          <w:spacing w:val="-4"/>
          <w:sz w:val="26"/>
          <w:szCs w:val="26"/>
          <w:lang w:val="uk-UA"/>
        </w:rPr>
        <w:t xml:space="preserve">умі </w:t>
      </w:r>
      <w:r w:rsidR="00CD48B6" w:rsidRPr="00084883">
        <w:rPr>
          <w:rFonts w:ascii="Times New Roman" w:hAnsi="Times New Roman"/>
          <w:b/>
          <w:color w:val="000000"/>
          <w:spacing w:val="-4"/>
          <w:sz w:val="26"/>
          <w:szCs w:val="26"/>
          <w:lang w:val="uk-UA"/>
        </w:rPr>
        <w:t xml:space="preserve">40,0 </w:t>
      </w:r>
      <w:proofErr w:type="spellStart"/>
      <w:r w:rsidR="00CD48B6" w:rsidRPr="00084883">
        <w:rPr>
          <w:rFonts w:ascii="Times New Roman" w:hAnsi="Times New Roman"/>
          <w:b/>
          <w:color w:val="000000"/>
          <w:spacing w:val="-4"/>
          <w:sz w:val="26"/>
          <w:szCs w:val="26"/>
          <w:lang w:val="uk-UA"/>
        </w:rPr>
        <w:t>тис.грн</w:t>
      </w:r>
      <w:proofErr w:type="spellEnd"/>
      <w:r w:rsidRPr="00084883">
        <w:rPr>
          <w:rFonts w:ascii="Times New Roman" w:hAnsi="Times New Roman"/>
          <w:b/>
          <w:color w:val="000000"/>
          <w:spacing w:val="-4"/>
          <w:sz w:val="26"/>
          <w:szCs w:val="26"/>
          <w:lang w:val="uk-UA"/>
        </w:rPr>
        <w:t>;</w:t>
      </w:r>
    </w:p>
    <w:p w:rsidR="00650A49" w:rsidRPr="00084883" w:rsidRDefault="00650A49" w:rsidP="00650A4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- 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визнаний дохід від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цільового фінансування капітальних інвестицій (основних засобів, нематеріальних активів тощо) </w:t>
      </w:r>
      <w:proofErr w:type="spellStart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пропорційно</w:t>
      </w:r>
      <w:proofErr w:type="spellEnd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сумі нарахованої амортизації  для цих об'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єктів згідно із п.18 П(С)бо 15 «Дохід» 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в сумі 794,0 тис. грн</w:t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;</w:t>
      </w:r>
    </w:p>
    <w:p w:rsidR="00CD48B6" w:rsidRPr="00084883" w:rsidRDefault="00650A49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- 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к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ошти, що н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адійшли від Фонду соціального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страхування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України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н</w:t>
      </w:r>
      <w:r w:rsidR="00CD48B6" w:rsidRPr="00084883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а виплату </w:t>
      </w:r>
      <w:r w:rsidR="00CD48B6" w:rsidRPr="00084883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допомоги по тимчасовій непрацездатності внаслідок захворювання </w:t>
      </w:r>
      <w:r w:rsidRPr="00084883">
        <w:rPr>
          <w:rFonts w:ascii="Times New Roman" w:hAnsi="Times New Roman"/>
          <w:b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в сумі </w:t>
      </w:r>
      <w:r w:rsidR="00CD48B6" w:rsidRPr="00084883">
        <w:rPr>
          <w:rFonts w:ascii="Times New Roman" w:hAnsi="Times New Roman"/>
          <w:b/>
          <w:color w:val="000000"/>
          <w:spacing w:val="-4"/>
          <w:sz w:val="26"/>
          <w:szCs w:val="26"/>
          <w:shd w:val="clear" w:color="auto" w:fill="FFFFFF"/>
          <w:lang w:val="uk-UA"/>
        </w:rPr>
        <w:t>169,0 тис. грн.</w:t>
      </w:r>
    </w:p>
    <w:p w:rsidR="00CD48B6" w:rsidRPr="00084883" w:rsidRDefault="00650A49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Витрати 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КП НМР «Комфорт» за 2021</w:t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рік 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складають 8800,00 </w:t>
      </w:r>
      <w:proofErr w:type="spellStart"/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тис.грн</w:t>
      </w:r>
      <w:proofErr w:type="spellEnd"/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,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що на 105,0,00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тис. грн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менше від запланованих на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2021 рік. 8905,0 тис. грн або 89% від 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запланованих. До складу витрат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підприємства за 2021 року входять:</w:t>
      </w:r>
    </w:p>
    <w:p w:rsidR="00CD48B6" w:rsidRPr="00084883" w:rsidRDefault="00E557AB" w:rsidP="00E557AB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Адміністративні витрати </w:t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7112,0 тис. грн</w:t>
      </w:r>
    </w:p>
    <w:p w:rsidR="00CD48B6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в </w:t>
      </w:r>
      <w:proofErr w:type="spellStart"/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т.ч</w:t>
      </w:r>
      <w:proofErr w:type="spellEnd"/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CD48B6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 витрати на оплату праці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  <w:t>4504,0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тис. грн</w:t>
      </w:r>
    </w:p>
    <w:p w:rsidR="00CD48B6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 відрахування  на соціальні  заходи 22% ЄСВ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  <w:t>994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>,0 тис. грн</w:t>
      </w:r>
    </w:p>
    <w:p w:rsidR="00E557AB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> 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амортизація основних засобів, інших необоротних </w:t>
      </w:r>
    </w:p>
    <w:p w:rsidR="00CD48B6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матеріальних активів,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нематеріальних активів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  <w:t>794,0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тис. грн</w:t>
      </w:r>
    </w:p>
    <w:p w:rsidR="00CD48B6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> 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витрати на відрядження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  <w:t>1,0 тис. грн</w:t>
      </w:r>
    </w:p>
    <w:p w:rsidR="00CD48B6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> 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витрати на службо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ві відрядження та зв'язок 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6,0 тис. грн</w:t>
      </w:r>
    </w:p>
    <w:p w:rsidR="00CD48B6" w:rsidRPr="00084883" w:rsidRDefault="00CD48B6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> 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інші адміністративні витрати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  <w:t>813,0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тис. грн</w:t>
      </w:r>
    </w:p>
    <w:p w:rsidR="00CD48B6" w:rsidRPr="00084883" w:rsidRDefault="00E557AB" w:rsidP="00E557AB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інші операційні витрати</w:t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1688</w:t>
      </w:r>
      <w:r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,0 тис. грн</w:t>
      </w:r>
    </w:p>
    <w:p w:rsidR="00CD48B6" w:rsidRPr="00084883" w:rsidRDefault="00E557AB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У структурі витрат КП НМР «Комфорт» питому вагу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становлят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ь витрати на витрати на оплату праці та капітальні інвестиції.</w:t>
      </w:r>
    </w:p>
    <w:p w:rsidR="00CD48B6" w:rsidRPr="00084883" w:rsidRDefault="00E557AB" w:rsidP="0065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Капітальні інвестиції за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2021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рік КП НМР «Комфорт» складають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928,0 тис. грн або 355,56 % від запланованого: в </w:t>
      </w:r>
      <w:proofErr w:type="spellStart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т.ч</w:t>
      </w:r>
      <w:proofErr w:type="spellEnd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CD48B6" w:rsidRPr="00084883" w:rsidRDefault="00CD48B6" w:rsidP="00E557A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Придбання (виготовлення) основних  засобів 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  <w:t>712,0 тис. грн;</w:t>
      </w:r>
    </w:p>
    <w:p w:rsidR="00CD48B6" w:rsidRPr="00084883" w:rsidRDefault="00084883" w:rsidP="00E557A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В </w:t>
      </w:r>
      <w:proofErr w:type="spellStart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т.ч</w:t>
      </w:r>
      <w:proofErr w:type="spellEnd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придбані основні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засоби</w:t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E557AB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  <w:t>243,0 тис. грн</w:t>
      </w:r>
    </w:p>
    <w:p w:rsidR="00CD48B6" w:rsidRDefault="00E557AB" w:rsidP="00E557A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виготовлені основні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засоби: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комплект паркових елементів дитячих майданчиків</w:t>
      </w:r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«Аліса в країні чудес» в кількості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1 шт.</w:t>
      </w:r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до складу якого входять (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паркова лавка в кількості 1 шт</w:t>
      </w:r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.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, гусінь з кальяном на грибах в кількості 1 шт., </w:t>
      </w:r>
      <w:proofErr w:type="spellStart"/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шляпник</w:t>
      </w:r>
      <w:proofErr w:type="spellEnd"/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з зайцем т</w:t>
      </w:r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а </w:t>
      </w:r>
      <w:proofErr w:type="spellStart"/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чеширським</w:t>
      </w:r>
      <w:proofErr w:type="spellEnd"/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котом в кількості 1 шт., Аліса в країні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чуде</w:t>
      </w:r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с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в кількості 1 шт</w:t>
      </w:r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.)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, та д</w:t>
      </w:r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еко-</w:t>
      </w:r>
      <w:proofErr w:type="spellStart"/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ративна</w:t>
      </w:r>
      <w:proofErr w:type="spellEnd"/>
      <w:r w:rsid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лавка «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Дракон на троні</w:t>
      </w:r>
      <w:r w:rsid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»</w:t>
      </w:r>
      <w:r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в кількості 1 шт. на загальну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суму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ab/>
        <w:t>469,0 тис. грн</w:t>
      </w:r>
      <w:r w:rsidR="00084883">
        <w:rPr>
          <w:rFonts w:ascii="Times New Roman" w:hAnsi="Times New Roman"/>
          <w:color w:val="000000"/>
          <w:sz w:val="26"/>
          <w:szCs w:val="26"/>
          <w:lang w:val="uk-UA" w:eastAsia="ru-RU"/>
        </w:rPr>
        <w:t>.</w:t>
      </w:r>
    </w:p>
    <w:p w:rsidR="00084883" w:rsidRDefault="00084883" w:rsidP="00084883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lastRenderedPageBreak/>
        <w:t>2</w:t>
      </w:r>
    </w:p>
    <w:p w:rsidR="00084883" w:rsidRPr="00084883" w:rsidRDefault="00084883" w:rsidP="00084883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  <w:lang w:val="uk-UA" w:eastAsia="ru-RU"/>
        </w:rPr>
      </w:pPr>
    </w:p>
    <w:p w:rsidR="00E557AB" w:rsidRPr="00084883" w:rsidRDefault="00CD48B6" w:rsidP="00E557A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4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pacing w:val="-8"/>
          <w:sz w:val="26"/>
          <w:szCs w:val="26"/>
          <w:lang w:val="uk-UA"/>
        </w:rPr>
        <w:t>Придбання</w:t>
      </w:r>
      <w:r w:rsidR="00E557AB" w:rsidRPr="00084883">
        <w:rPr>
          <w:rFonts w:ascii="Times New Roman" w:hAnsi="Times New Roman"/>
          <w:color w:val="000000"/>
          <w:spacing w:val="-8"/>
          <w:sz w:val="26"/>
          <w:szCs w:val="26"/>
          <w:lang w:val="uk-UA"/>
        </w:rPr>
        <w:t xml:space="preserve"> </w:t>
      </w:r>
      <w:r w:rsidRPr="00084883">
        <w:rPr>
          <w:rFonts w:ascii="Times New Roman" w:hAnsi="Times New Roman"/>
          <w:color w:val="000000"/>
          <w:spacing w:val="-8"/>
          <w:sz w:val="26"/>
          <w:szCs w:val="26"/>
          <w:lang w:val="uk-UA"/>
        </w:rPr>
        <w:t>(виготовлення) інших нео</w:t>
      </w:r>
      <w:r w:rsidR="00E557AB" w:rsidRPr="00084883">
        <w:rPr>
          <w:rFonts w:ascii="Times New Roman" w:hAnsi="Times New Roman"/>
          <w:color w:val="000000"/>
          <w:spacing w:val="-8"/>
          <w:sz w:val="26"/>
          <w:szCs w:val="26"/>
          <w:lang w:val="uk-UA"/>
        </w:rPr>
        <w:t>боротних матеріальних активів</w:t>
      </w:r>
      <w:r w:rsidR="00E557AB" w:rsidRPr="00084883">
        <w:rPr>
          <w:rFonts w:ascii="Times New Roman" w:hAnsi="Times New Roman"/>
          <w:color w:val="000000"/>
          <w:spacing w:val="-4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pacing w:val="-4"/>
          <w:sz w:val="26"/>
          <w:szCs w:val="26"/>
          <w:lang w:val="uk-UA"/>
        </w:rPr>
        <w:t>216,0 тис. грн;</w:t>
      </w:r>
    </w:p>
    <w:p w:rsidR="00CD48B6" w:rsidRPr="00084883" w:rsidRDefault="00E557AB" w:rsidP="00E557A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4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Згідно даних таблиці № 5 «Дані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про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персонал та витрати на оплату праці» середня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кількість працівників за 2021 рік по підприємству, враховуючи штатних працівників, зовнішніх сумісників та працівників, що працювали за цивільно-правовими угодами, фактично становить 41 осіб. Із них:</w:t>
      </w:r>
    </w:p>
    <w:p w:rsidR="00E557AB" w:rsidRPr="00084883" w:rsidRDefault="00E557AB" w:rsidP="00E557A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 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директор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1 </w:t>
      </w:r>
      <w:proofErr w:type="spellStart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чол</w:t>
      </w:r>
      <w:proofErr w:type="spellEnd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E557AB" w:rsidRPr="00084883" w:rsidRDefault="00E557AB" w:rsidP="00E557A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 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адміністративно- управлінського персоналу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7 </w:t>
      </w:r>
      <w:proofErr w:type="spellStart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чол</w:t>
      </w:r>
      <w:proofErr w:type="spellEnd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E557AB" w:rsidRPr="00084883" w:rsidRDefault="00E557AB" w:rsidP="00E557A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 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працівників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18 </w:t>
      </w:r>
      <w:proofErr w:type="spellStart"/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чол</w:t>
      </w:r>
      <w:proofErr w:type="spellEnd"/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CD48B6" w:rsidRPr="00084883" w:rsidRDefault="00E557AB" w:rsidP="00E557A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- 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працівники, що працювали за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 цивільно правовими договорами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15 </w:t>
      </w:r>
      <w:proofErr w:type="spellStart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чол</w:t>
      </w:r>
      <w:proofErr w:type="spellEnd"/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.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;</w:t>
      </w:r>
    </w:p>
    <w:p w:rsidR="00CD48B6" w:rsidRPr="00084883" w:rsidRDefault="00E557AB" w:rsidP="000848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Фонд оплати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праці працівників КП НМР «Комфорт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» за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2021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рік складається із фондів основної та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додаткової заробітної </w:t>
      </w:r>
      <w:r w:rsidR="00084883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плати та інших заохочувальних та </w:t>
      </w:r>
      <w:proofErr w:type="spellStart"/>
      <w:r w:rsidR="00084883" w:rsidRPr="00084883">
        <w:rPr>
          <w:rFonts w:ascii="Times New Roman" w:hAnsi="Times New Roman"/>
          <w:color w:val="000000"/>
          <w:sz w:val="26"/>
          <w:szCs w:val="26"/>
          <w:lang w:val="uk-UA"/>
        </w:rPr>
        <w:t>компенса</w:t>
      </w:r>
      <w:r w:rsidR="00084883">
        <w:rPr>
          <w:rFonts w:ascii="Times New Roman" w:hAnsi="Times New Roman"/>
          <w:color w:val="000000"/>
          <w:sz w:val="26"/>
          <w:szCs w:val="26"/>
          <w:lang w:val="uk-UA"/>
        </w:rPr>
        <w:t>-</w:t>
      </w:r>
      <w:r w:rsidR="00084883" w:rsidRPr="00084883">
        <w:rPr>
          <w:rFonts w:ascii="Times New Roman" w:hAnsi="Times New Roman"/>
          <w:color w:val="000000"/>
          <w:spacing w:val="-6"/>
          <w:sz w:val="26"/>
          <w:szCs w:val="26"/>
          <w:lang w:val="uk-UA"/>
        </w:rPr>
        <w:t>ційних</w:t>
      </w:r>
      <w:proofErr w:type="spellEnd"/>
      <w:r w:rsidR="00084883" w:rsidRPr="00084883">
        <w:rPr>
          <w:rFonts w:ascii="Times New Roman" w:hAnsi="Times New Roman"/>
          <w:color w:val="000000"/>
          <w:spacing w:val="-6"/>
          <w:sz w:val="26"/>
          <w:szCs w:val="26"/>
          <w:lang w:val="uk-UA"/>
        </w:rPr>
        <w:t xml:space="preserve"> виплат і </w:t>
      </w:r>
      <w:r w:rsidR="00CD48B6" w:rsidRPr="00084883">
        <w:rPr>
          <w:rFonts w:ascii="Times New Roman" w:hAnsi="Times New Roman"/>
          <w:color w:val="000000"/>
          <w:spacing w:val="-6"/>
          <w:sz w:val="26"/>
          <w:szCs w:val="26"/>
          <w:lang w:val="uk-UA"/>
        </w:rPr>
        <w:t>фактично складає 4504,0 тис. грн, що на 102,0 тис. грн</w:t>
      </w:r>
      <w:r w:rsidR="00084883" w:rsidRPr="00084883">
        <w:rPr>
          <w:rFonts w:ascii="Times New Roman" w:hAnsi="Times New Roman"/>
          <w:color w:val="000000"/>
          <w:spacing w:val="-6"/>
          <w:sz w:val="26"/>
          <w:szCs w:val="26"/>
          <w:lang w:val="uk-UA"/>
        </w:rPr>
        <w:t xml:space="preserve"> менше в порівнянні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CD48B6" w:rsidRPr="003015F6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>із запланованим 2021</w:t>
      </w:r>
      <w:r w:rsidR="00084883" w:rsidRPr="003015F6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 xml:space="preserve"> рік. </w:t>
      </w:r>
      <w:r w:rsidR="00CD48B6" w:rsidRPr="003015F6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>4606,0 тис. грн. Фактичні витрати на оплату праці за 2021</w:t>
      </w:r>
      <w:r w:rsidR="00084883" w:rsidRPr="003015F6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 xml:space="preserve"> рік</w:t>
      </w:r>
      <w:r w:rsidR="00084883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становлять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5458,0 тис. грн або 97,13%</w:t>
      </w:r>
      <w:r w:rsidR="00084883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від запланов</w:t>
      </w:r>
      <w:r w:rsidR="00084883" w:rsidRPr="00084883">
        <w:rPr>
          <w:rFonts w:ascii="Times New Roman" w:hAnsi="Times New Roman"/>
          <w:color w:val="000000"/>
          <w:sz w:val="26"/>
          <w:szCs w:val="26"/>
          <w:lang w:val="uk-UA"/>
        </w:rPr>
        <w:t>аних Середньо</w:t>
      </w:r>
      <w:r w:rsidR="00084883">
        <w:rPr>
          <w:rFonts w:ascii="Times New Roman" w:hAnsi="Times New Roman"/>
          <w:color w:val="000000"/>
          <w:sz w:val="26"/>
          <w:szCs w:val="26"/>
          <w:lang w:val="uk-UA"/>
        </w:rPr>
        <w:t>-</w:t>
      </w:r>
      <w:r w:rsidR="00084883" w:rsidRPr="00084883">
        <w:rPr>
          <w:rFonts w:ascii="Times New Roman" w:hAnsi="Times New Roman"/>
          <w:color w:val="000000"/>
          <w:sz w:val="26"/>
          <w:szCs w:val="26"/>
          <w:lang w:val="uk-UA"/>
        </w:rPr>
        <w:t>місячна заробітна плата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одного </w:t>
      </w:r>
      <w:r w:rsidR="00084883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працівника КП НМР «Комфорт» </w:t>
      </w:r>
      <w:r w:rsidR="003015F6">
        <w:rPr>
          <w:rFonts w:ascii="Times New Roman" w:hAnsi="Times New Roman"/>
          <w:color w:val="000000"/>
          <w:sz w:val="26"/>
          <w:szCs w:val="26"/>
          <w:lang w:val="uk-UA"/>
        </w:rPr>
        <w:t>за 2021 рік становить 9154,0 гривень</w:t>
      </w:r>
      <w:r w:rsidR="00084883" w:rsidRPr="00084883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CD48B6" w:rsidRPr="00084883" w:rsidRDefault="00084883" w:rsidP="000848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Посадові оклади та інші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види витрат формуються згідно з колективним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договором. Нарахування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виплати здійснюються у відповідності з фінансовими можливостями підприємства.</w:t>
      </w:r>
    </w:p>
    <w:p w:rsidR="00CD48B6" w:rsidRPr="00084883" w:rsidRDefault="00084883" w:rsidP="000848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 xml:space="preserve">На кінець звітного періоду відсутня заборгованість підприємства </w:t>
      </w:r>
      <w:r w:rsidR="00CD48B6" w:rsidRPr="00084883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>за розрахунками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з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оплати праці, розрахунками зі страхування та розрахунками з бюджетом.</w:t>
      </w:r>
    </w:p>
    <w:p w:rsidR="00CD48B6" w:rsidRPr="00084883" w:rsidRDefault="00084883" w:rsidP="000848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КП НМР «Комфорт» за 2021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року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не має заборгованості по </w:t>
      </w:r>
      <w:proofErr w:type="spellStart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платежах</w:t>
      </w:r>
      <w:proofErr w:type="spellEnd"/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до бюджетів та державних цільових фондів.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Згідно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даних таблиці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2 «Розрахунки з бюджетом» підприємством сплачено податків, зборів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до державного та місцевого бюджетів на суму 1886,0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тис.грн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т.ч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. до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місцевого бюджету 892,0 тис. грн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, що становить 99 % від запланованих на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202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1 р. 898,0 тис. грн і на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418,0 тис. грн більше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порівняно з відповідним періодом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2020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р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оку, в якому фактична сплата до місцевого бюджету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становила 474,0 тис. грн.</w:t>
      </w:r>
    </w:p>
    <w:p w:rsidR="00CD48B6" w:rsidRPr="00084883" w:rsidRDefault="00CD48B6" w:rsidP="000848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В 2021 році </w:t>
      </w:r>
      <w:r w:rsid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податок на прибуток (18%). в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сумі 1</w:t>
      </w:r>
      <w:r w:rsidR="00084883">
        <w:rPr>
          <w:rFonts w:ascii="Times New Roman" w:hAnsi="Times New Roman"/>
          <w:color w:val="000000"/>
          <w:sz w:val="26"/>
          <w:szCs w:val="26"/>
          <w:lang w:val="uk-UA"/>
        </w:rPr>
        <w:t>,0 тис. грн та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перераховано ча</w:t>
      </w:r>
      <w:r w:rsid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стину чистого прибутку (15%) в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сумі 4</w:t>
      </w:r>
      <w:r w:rsid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,0 </w:t>
      </w:r>
      <w:proofErr w:type="spellStart"/>
      <w:r w:rsidR="00084883">
        <w:rPr>
          <w:rFonts w:ascii="Times New Roman" w:hAnsi="Times New Roman"/>
          <w:color w:val="000000"/>
          <w:sz w:val="26"/>
          <w:szCs w:val="26"/>
          <w:lang w:val="uk-UA"/>
        </w:rPr>
        <w:t>тис.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грн</w:t>
      </w:r>
      <w:proofErr w:type="spellEnd"/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.</w:t>
      </w:r>
      <w:r w:rsid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Нерозподілений прибуток в сумі 21,6 тис. грн був спрямований підприємством для купівлі основних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засобів</w:t>
      </w:r>
      <w:r w:rsid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необхідних для </w:t>
      </w:r>
      <w:r w:rsidRPr="00084883">
        <w:rPr>
          <w:rFonts w:ascii="Times New Roman" w:hAnsi="Times New Roman"/>
          <w:color w:val="000000"/>
          <w:sz w:val="26"/>
          <w:szCs w:val="26"/>
          <w:lang w:val="uk-UA"/>
        </w:rPr>
        <w:t>підприємства.</w:t>
      </w:r>
    </w:p>
    <w:p w:rsidR="00CD48B6" w:rsidRPr="00084883" w:rsidRDefault="00084883" w:rsidP="000848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Різниця в сумі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11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45,0 тис. грн між даними Звіту про фінансові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результати 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форма 2-м. р.2280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«Інші операційні доходи» в сумі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(7633,0 тис. грн)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та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даними таблиці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1 «Звіт про виконання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фіна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нсового плану підприємства за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2021р» розділ «Усього доходів» р. 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1210 (8778,0 тис. грн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). та різниця в сумі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11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45,0 тис. грн між даними Звіту про фінансові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результати 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форма 2-м. р.2285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«Разом витрати»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в 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сумі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(7655 тис. грн)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та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 даними таблиці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1 «Звіт про виконання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 xml:space="preserve">фінансового плану підприємства за 2021р» розділ «Усього витрат» 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р. 1220 (</w:t>
      </w:r>
      <w:r w:rsidR="00CD48B6" w:rsidRPr="00084883">
        <w:rPr>
          <w:rFonts w:ascii="Times New Roman" w:hAnsi="Times New Roman"/>
          <w:b/>
          <w:color w:val="000000"/>
          <w:sz w:val="26"/>
          <w:szCs w:val="26"/>
          <w:lang w:val="uk-UA"/>
        </w:rPr>
        <w:t>8800,0 тис. грн)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виникла за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рахунок доходів майбутн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іх періодів. Згідно п.17 П(С)бо15 </w:t>
      </w:r>
      <w:r w:rsidR="00CD48B6" w:rsidRPr="00084883">
        <w:rPr>
          <w:rFonts w:ascii="Times New Roman" w:hAnsi="Times New Roman"/>
          <w:color w:val="000000"/>
          <w:sz w:val="26"/>
          <w:szCs w:val="26"/>
          <w:lang w:val="uk-UA"/>
        </w:rPr>
        <w:t>«Дохід»: о</w:t>
      </w:r>
      <w:r w:rsidR="00CD48B6" w:rsidRPr="00084883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тримане цільове фінансування визнається доходом протягом тих періодів, в яких були зазнані витрати, пов'язані з виконанням умов цільового фінансування.</w:t>
      </w:r>
    </w:p>
    <w:p w:rsidR="00CD48B6" w:rsidRPr="00084883" w:rsidRDefault="00CD48B6" w:rsidP="0008488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CD48B6" w:rsidRPr="00084883" w:rsidRDefault="00084883" w:rsidP="0008488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Марія </w:t>
      </w:r>
      <w:r w:rsidR="00CD48B6" w:rsidRPr="00084883">
        <w:rPr>
          <w:rFonts w:ascii="Times New Roman" w:hAnsi="Times New Roman"/>
          <w:sz w:val="26"/>
          <w:szCs w:val="26"/>
          <w:lang w:val="uk-UA"/>
        </w:rPr>
        <w:t>ВЛАСЮК</w:t>
      </w:r>
    </w:p>
    <w:p w:rsidR="003015F6" w:rsidRDefault="003015F6" w:rsidP="0008488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D48B6" w:rsidRPr="00084883" w:rsidRDefault="00084883" w:rsidP="0008488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 xml:space="preserve">Головний бухгалтер 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CD48B6" w:rsidRPr="00084883">
        <w:rPr>
          <w:rFonts w:ascii="Times New Roman" w:hAnsi="Times New Roman"/>
          <w:sz w:val="26"/>
          <w:szCs w:val="26"/>
          <w:lang w:val="uk-UA"/>
        </w:rPr>
        <w:t>Валентина МИРОНЮК</w:t>
      </w:r>
    </w:p>
    <w:p w:rsidR="00CD48B6" w:rsidRPr="00084883" w:rsidRDefault="00CD48B6" w:rsidP="00650A4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sectPr w:rsidR="00CD48B6" w:rsidRPr="00084883" w:rsidSect="00650A49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03D"/>
    <w:multiLevelType w:val="hybridMultilevel"/>
    <w:tmpl w:val="FB4418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E1623B8"/>
    <w:multiLevelType w:val="hybridMultilevel"/>
    <w:tmpl w:val="03BC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4FA"/>
    <w:multiLevelType w:val="hybridMultilevel"/>
    <w:tmpl w:val="54B8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6EB"/>
    <w:multiLevelType w:val="hybridMultilevel"/>
    <w:tmpl w:val="F03A7A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4F7283"/>
    <w:multiLevelType w:val="hybridMultilevel"/>
    <w:tmpl w:val="0BA8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0738D0"/>
    <w:multiLevelType w:val="hybridMultilevel"/>
    <w:tmpl w:val="6F6AA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4152DD"/>
    <w:multiLevelType w:val="hybridMultilevel"/>
    <w:tmpl w:val="3BC43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381E00"/>
    <w:multiLevelType w:val="hybridMultilevel"/>
    <w:tmpl w:val="01C66C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533"/>
    <w:rsid w:val="00002CA0"/>
    <w:rsid w:val="0001754C"/>
    <w:rsid w:val="00021D7D"/>
    <w:rsid w:val="00033128"/>
    <w:rsid w:val="00056525"/>
    <w:rsid w:val="00065DEB"/>
    <w:rsid w:val="00074A99"/>
    <w:rsid w:val="00083EFB"/>
    <w:rsid w:val="00084883"/>
    <w:rsid w:val="00090F2B"/>
    <w:rsid w:val="00090F3A"/>
    <w:rsid w:val="0009748C"/>
    <w:rsid w:val="000A62F6"/>
    <w:rsid w:val="000B7AE9"/>
    <w:rsid w:val="000C3533"/>
    <w:rsid w:val="0010735B"/>
    <w:rsid w:val="00115E66"/>
    <w:rsid w:val="0012041C"/>
    <w:rsid w:val="001213CB"/>
    <w:rsid w:val="00127C56"/>
    <w:rsid w:val="0013649C"/>
    <w:rsid w:val="001412B2"/>
    <w:rsid w:val="00166348"/>
    <w:rsid w:val="001816C2"/>
    <w:rsid w:val="001B295E"/>
    <w:rsid w:val="001B2F72"/>
    <w:rsid w:val="001E0AFF"/>
    <w:rsid w:val="001E5107"/>
    <w:rsid w:val="001E77A5"/>
    <w:rsid w:val="001F1094"/>
    <w:rsid w:val="001F4038"/>
    <w:rsid w:val="001F4BFA"/>
    <w:rsid w:val="00211E37"/>
    <w:rsid w:val="00220607"/>
    <w:rsid w:val="00222AB6"/>
    <w:rsid w:val="00233F80"/>
    <w:rsid w:val="00256A3F"/>
    <w:rsid w:val="002729DE"/>
    <w:rsid w:val="0027510D"/>
    <w:rsid w:val="00295803"/>
    <w:rsid w:val="002A3520"/>
    <w:rsid w:val="002C380E"/>
    <w:rsid w:val="002C5A31"/>
    <w:rsid w:val="002E0D4B"/>
    <w:rsid w:val="002F7F09"/>
    <w:rsid w:val="003015F6"/>
    <w:rsid w:val="00302C83"/>
    <w:rsid w:val="00303179"/>
    <w:rsid w:val="00304885"/>
    <w:rsid w:val="00322A41"/>
    <w:rsid w:val="00333E09"/>
    <w:rsid w:val="00335E22"/>
    <w:rsid w:val="00346EE2"/>
    <w:rsid w:val="003608E4"/>
    <w:rsid w:val="003926B2"/>
    <w:rsid w:val="00392FED"/>
    <w:rsid w:val="003A4450"/>
    <w:rsid w:val="003A7D9F"/>
    <w:rsid w:val="003B35CA"/>
    <w:rsid w:val="003C18EC"/>
    <w:rsid w:val="003C2EB8"/>
    <w:rsid w:val="003C4BCB"/>
    <w:rsid w:val="003E0D9B"/>
    <w:rsid w:val="003E2C45"/>
    <w:rsid w:val="003E3C2D"/>
    <w:rsid w:val="003E6B0D"/>
    <w:rsid w:val="00414ADA"/>
    <w:rsid w:val="00442F92"/>
    <w:rsid w:val="004516D3"/>
    <w:rsid w:val="00463380"/>
    <w:rsid w:val="00476140"/>
    <w:rsid w:val="004D3EC9"/>
    <w:rsid w:val="004E7B8D"/>
    <w:rsid w:val="004F08A2"/>
    <w:rsid w:val="004F32A8"/>
    <w:rsid w:val="004F70C9"/>
    <w:rsid w:val="005040B2"/>
    <w:rsid w:val="005157E8"/>
    <w:rsid w:val="00526E3D"/>
    <w:rsid w:val="00531E36"/>
    <w:rsid w:val="00537980"/>
    <w:rsid w:val="005442C3"/>
    <w:rsid w:val="00560C70"/>
    <w:rsid w:val="005700F3"/>
    <w:rsid w:val="00570552"/>
    <w:rsid w:val="0058230F"/>
    <w:rsid w:val="005A14A1"/>
    <w:rsid w:val="005C1A12"/>
    <w:rsid w:val="006173B0"/>
    <w:rsid w:val="00637D4C"/>
    <w:rsid w:val="00644678"/>
    <w:rsid w:val="00650A49"/>
    <w:rsid w:val="0065227E"/>
    <w:rsid w:val="006819D2"/>
    <w:rsid w:val="006A1444"/>
    <w:rsid w:val="006B7FF2"/>
    <w:rsid w:val="006C2656"/>
    <w:rsid w:val="006C581B"/>
    <w:rsid w:val="006C5FF2"/>
    <w:rsid w:val="007244CE"/>
    <w:rsid w:val="00727FFD"/>
    <w:rsid w:val="00751AC3"/>
    <w:rsid w:val="00762544"/>
    <w:rsid w:val="0077707A"/>
    <w:rsid w:val="007864B0"/>
    <w:rsid w:val="00790006"/>
    <w:rsid w:val="00790A69"/>
    <w:rsid w:val="007B3C68"/>
    <w:rsid w:val="00801074"/>
    <w:rsid w:val="00804DEB"/>
    <w:rsid w:val="0080584F"/>
    <w:rsid w:val="00816694"/>
    <w:rsid w:val="0083515E"/>
    <w:rsid w:val="00842A66"/>
    <w:rsid w:val="00856B49"/>
    <w:rsid w:val="00875D53"/>
    <w:rsid w:val="00895BBD"/>
    <w:rsid w:val="008B28FD"/>
    <w:rsid w:val="008B7B0D"/>
    <w:rsid w:val="008C006B"/>
    <w:rsid w:val="008C59E4"/>
    <w:rsid w:val="009146CA"/>
    <w:rsid w:val="00917937"/>
    <w:rsid w:val="00922555"/>
    <w:rsid w:val="00923544"/>
    <w:rsid w:val="00934ADA"/>
    <w:rsid w:val="00942B27"/>
    <w:rsid w:val="00964310"/>
    <w:rsid w:val="00981623"/>
    <w:rsid w:val="009906FB"/>
    <w:rsid w:val="00996446"/>
    <w:rsid w:val="009A7B05"/>
    <w:rsid w:val="009C37E5"/>
    <w:rsid w:val="009C68E8"/>
    <w:rsid w:val="009D3B52"/>
    <w:rsid w:val="009D54AF"/>
    <w:rsid w:val="009E4164"/>
    <w:rsid w:val="009F3EC7"/>
    <w:rsid w:val="00A0526F"/>
    <w:rsid w:val="00A079E3"/>
    <w:rsid w:val="00A31D69"/>
    <w:rsid w:val="00A42FE6"/>
    <w:rsid w:val="00A5411C"/>
    <w:rsid w:val="00A735CE"/>
    <w:rsid w:val="00A83FDC"/>
    <w:rsid w:val="00A96034"/>
    <w:rsid w:val="00AA4669"/>
    <w:rsid w:val="00AA59D3"/>
    <w:rsid w:val="00AB609F"/>
    <w:rsid w:val="00AC51B7"/>
    <w:rsid w:val="00AC6260"/>
    <w:rsid w:val="00AD3411"/>
    <w:rsid w:val="00AF18F4"/>
    <w:rsid w:val="00B144B5"/>
    <w:rsid w:val="00B21E03"/>
    <w:rsid w:val="00B315F3"/>
    <w:rsid w:val="00B34F42"/>
    <w:rsid w:val="00B5535F"/>
    <w:rsid w:val="00B57504"/>
    <w:rsid w:val="00BD026C"/>
    <w:rsid w:val="00BD6176"/>
    <w:rsid w:val="00C15031"/>
    <w:rsid w:val="00C15BF4"/>
    <w:rsid w:val="00C237DA"/>
    <w:rsid w:val="00C2569C"/>
    <w:rsid w:val="00C27185"/>
    <w:rsid w:val="00C4448E"/>
    <w:rsid w:val="00C52F6D"/>
    <w:rsid w:val="00C53A3E"/>
    <w:rsid w:val="00C55FAC"/>
    <w:rsid w:val="00C56699"/>
    <w:rsid w:val="00C6757B"/>
    <w:rsid w:val="00C83FA3"/>
    <w:rsid w:val="00C90E3D"/>
    <w:rsid w:val="00C9171E"/>
    <w:rsid w:val="00CB041F"/>
    <w:rsid w:val="00CC7DFC"/>
    <w:rsid w:val="00CD40A7"/>
    <w:rsid w:val="00CD48B6"/>
    <w:rsid w:val="00CE5602"/>
    <w:rsid w:val="00CF75DE"/>
    <w:rsid w:val="00D43F43"/>
    <w:rsid w:val="00D94134"/>
    <w:rsid w:val="00DB5A17"/>
    <w:rsid w:val="00DB70C1"/>
    <w:rsid w:val="00DB7F7E"/>
    <w:rsid w:val="00DD1FD3"/>
    <w:rsid w:val="00DD464F"/>
    <w:rsid w:val="00DE14E2"/>
    <w:rsid w:val="00E07F5C"/>
    <w:rsid w:val="00E106DB"/>
    <w:rsid w:val="00E1529B"/>
    <w:rsid w:val="00E24319"/>
    <w:rsid w:val="00E25530"/>
    <w:rsid w:val="00E557AB"/>
    <w:rsid w:val="00E614CC"/>
    <w:rsid w:val="00E74212"/>
    <w:rsid w:val="00E82174"/>
    <w:rsid w:val="00EE0F3F"/>
    <w:rsid w:val="00EE3707"/>
    <w:rsid w:val="00F0391D"/>
    <w:rsid w:val="00F14DFE"/>
    <w:rsid w:val="00F3412C"/>
    <w:rsid w:val="00F55C7F"/>
    <w:rsid w:val="00F7437B"/>
    <w:rsid w:val="00F7594E"/>
    <w:rsid w:val="00F929E6"/>
    <w:rsid w:val="00FA3A52"/>
    <w:rsid w:val="00FB6678"/>
    <w:rsid w:val="00FD4666"/>
    <w:rsid w:val="00FE2D6A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F853A"/>
  <w15:docId w15:val="{DA14882E-9920-4E60-B4C4-E20E5192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66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6819D2"/>
    <w:pPr>
      <w:ind w:left="720"/>
      <w:contextualSpacing/>
    </w:pPr>
  </w:style>
  <w:style w:type="paragraph" w:customStyle="1" w:styleId="a7">
    <w:name w:val="Знак Знак Знак Знак"/>
    <w:basedOn w:val="a"/>
    <w:uiPriority w:val="99"/>
    <w:rsid w:val="003B35CA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styleId="a8">
    <w:name w:val="Hyperlink"/>
    <w:uiPriority w:val="99"/>
    <w:semiHidden/>
    <w:rsid w:val="001F4B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161</cp:revision>
  <cp:lastPrinted>2022-02-15T14:02:00Z</cp:lastPrinted>
  <dcterms:created xsi:type="dcterms:W3CDTF">2017-11-28T13:17:00Z</dcterms:created>
  <dcterms:modified xsi:type="dcterms:W3CDTF">2022-02-21T11:50:00Z</dcterms:modified>
</cp:coreProperties>
</file>