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 проекту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3454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до бюджету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Нетішинської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CD4A3D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F0B3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A0C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Обґрунтування необхідності прийняття змін </w:t>
      </w: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бюджету </w:t>
      </w:r>
      <w:proofErr w:type="spellStart"/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Нетішинської</w:t>
      </w:r>
      <w:proofErr w:type="spellEnd"/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</w:t>
      </w:r>
    </w:p>
    <w:p w:rsidR="00497A9C" w:rsidRDefault="00734548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497A9C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Програм</w:t>
      </w:r>
      <w:r w:rsid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и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заходів національного спротиву </w:t>
      </w:r>
      <w:proofErr w:type="spellStart"/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Нетішинської</w:t>
      </w:r>
      <w:proofErr w:type="spellEnd"/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міської територіальної громади на </w:t>
      </w:r>
      <w:r w:rsidR="00633A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2022 рік </w:t>
      </w:r>
    </w:p>
    <w:p w:rsidR="00C8451E" w:rsidRDefault="00C8451E" w:rsidP="00497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D657A0" w:rsidRDefault="00C8451E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B3A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 від 24 лютого 2022 року № 64 «Про введення воєнного стану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</w:t>
      </w:r>
      <w:r w:rsidRPr="00C8451E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розділу </w:t>
      </w:r>
      <w:r w:rsidRPr="00C845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451E">
        <w:rPr>
          <w:rFonts w:ascii="Times New Roman" w:hAnsi="Times New Roman" w:cs="Times New Roman"/>
          <w:sz w:val="28"/>
          <w:szCs w:val="28"/>
          <w:lang w:val="uk-UA"/>
        </w:rPr>
        <w:t>І «Прикінцеві та перехідні положення» Бюджетного кодексу України та інших законодавчий актів»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2F0B3A">
        <w:rPr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</w:t>
      </w:r>
      <w:r w:rsidR="00E26C12" w:rsidRPr="00E26C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Хмельницької обласної військової адміністрації від 04 березня 2022 року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 w:rsidR="00E26C12" w:rsidRPr="00E26C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23/2022-н «Про першочергові заходи з питань територіальної оборони»</w:t>
      </w:r>
      <w:r w:rsidR="00CA43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734548"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B2CE7" w:rsidRPr="00497A9C">
        <w:rPr>
          <w:rFonts w:ascii="Times New Roman" w:hAnsi="Times New Roman" w:cs="Times New Roman"/>
          <w:sz w:val="28"/>
          <w:szCs w:val="28"/>
          <w:lang w:val="uk-UA"/>
        </w:rPr>
        <w:t>вісімнадцятої се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</w:t>
      </w:r>
      <w:proofErr w:type="spellEnd"/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</w:t>
      </w:r>
      <w:proofErr w:type="spellStart"/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>
        <w:rPr>
          <w:rFonts w:ascii="Times New Roman" w:hAnsi="Times New Roman" w:cs="Times New Roman"/>
          <w:sz w:val="28"/>
          <w:szCs w:val="28"/>
          <w:lang w:val="uk-UA"/>
        </w:rPr>
        <w:t>, бюджетні запити виконавчого комітету міської ради, лист управління капітального будівництва виконавчого комітету міської ради</w:t>
      </w:r>
    </w:p>
    <w:p w:rsidR="00E26C12" w:rsidRDefault="00E26C12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D36530" w:rsidRDefault="00E26C12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C8451E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C8451E" w:rsidRPr="00C8451E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розділу </w:t>
      </w:r>
      <w:r w:rsidR="00633A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C8451E" w:rsidRPr="00C845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451E" w:rsidRPr="00C8451E">
        <w:rPr>
          <w:rFonts w:ascii="Times New Roman" w:hAnsi="Times New Roman" w:cs="Times New Roman"/>
          <w:sz w:val="28"/>
          <w:szCs w:val="28"/>
          <w:lang w:val="uk-UA"/>
        </w:rPr>
        <w:t>І «Прикінцеві та перехідні положення» Бюджетного кодексу України та інших законодавчий актів»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запит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пропонується 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>спрямувати</w:t>
      </w:r>
      <w:r w:rsidR="00C8451E" w:rsidRPr="00C8451E">
        <w:rPr>
          <w:lang w:val="uk-UA"/>
        </w:rPr>
        <w:t xml:space="preserve"> </w:t>
      </w:r>
      <w:proofErr w:type="spellStart"/>
      <w:r w:rsidR="00C8451E" w:rsidRPr="00C8451E">
        <w:rPr>
          <w:rFonts w:ascii="Times New Roman" w:hAnsi="Times New Roman" w:cs="Times New Roman"/>
          <w:sz w:val="28"/>
          <w:szCs w:val="28"/>
          <w:lang w:val="uk-UA"/>
        </w:rPr>
        <w:t>спрямувати</w:t>
      </w:r>
      <w:proofErr w:type="spellEnd"/>
      <w:r w:rsidR="00C8451E" w:rsidRPr="00C8451E">
        <w:rPr>
          <w:rFonts w:ascii="Times New Roman" w:hAnsi="Times New Roman" w:cs="Times New Roman"/>
          <w:sz w:val="28"/>
          <w:szCs w:val="28"/>
          <w:lang w:val="uk-UA"/>
        </w:rPr>
        <w:t xml:space="preserve"> залишки коштів за субвенціями з державного бюджету місцевим бюджетам, збережених на рахунках місцевих бюджетів станом на 1 січня 2022 року, на заходи територіальної оборони, задоволення продовольчих потреб цивільного населення та інші заходи, спрямовані на підтримку цивільного нас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>еле</w:t>
      </w:r>
      <w:r w:rsidR="00D36530">
        <w:rPr>
          <w:rFonts w:ascii="Times New Roman" w:hAnsi="Times New Roman" w:cs="Times New Roman"/>
          <w:sz w:val="28"/>
          <w:szCs w:val="28"/>
          <w:lang w:val="uk-UA"/>
        </w:rPr>
        <w:t>ння в умовах воєнного стану.</w:t>
      </w:r>
    </w:p>
    <w:p w:rsidR="00734548" w:rsidRDefault="00D36530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</w:t>
      </w:r>
      <w:r w:rsidR="00E26C12">
        <w:rPr>
          <w:rFonts w:ascii="Times New Roman" w:hAnsi="Times New Roman" w:cs="Times New Roman"/>
          <w:sz w:val="28"/>
          <w:szCs w:val="28"/>
          <w:lang w:val="uk-UA"/>
        </w:rPr>
        <w:t>здійснити переміщення бюджетних призначень згідно з додатком.</w:t>
      </w:r>
    </w:p>
    <w:p w:rsidR="00D657A0" w:rsidRDefault="00D657A0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7A0" w:rsidRDefault="00D657A0" w:rsidP="00D657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734548" w:rsidRDefault="00993C7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 w:rsidR="00F32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>Валентина КРАВЧУК</w:t>
      </w:r>
    </w:p>
    <w:p w:rsidR="0093246D" w:rsidRDefault="0093246D" w:rsidP="00734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93246D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993D3D" w:rsidRPr="00DF6E27" w:rsidRDefault="007E0002" w:rsidP="00841E04">
      <w:pPr>
        <w:spacing w:line="240" w:lineRule="auto"/>
        <w:ind w:left="8496"/>
        <w:jc w:val="both"/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Pr="007E000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E000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E000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7E00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E000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7E000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1B2CE7"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7" w:rsidRPr="00DF6E2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B2CE7"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7" w:rsidRPr="00DF6E2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1B2CE7" w:rsidRPr="00DF6E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057" w:type="dxa"/>
        <w:tblLook w:val="04A0" w:firstRow="1" w:lastRow="0" w:firstColumn="1" w:lastColumn="0" w:noHBand="0" w:noVBand="1"/>
      </w:tblPr>
      <w:tblGrid>
        <w:gridCol w:w="2405"/>
        <w:gridCol w:w="895"/>
        <w:gridCol w:w="1613"/>
        <w:gridCol w:w="11144"/>
      </w:tblGrid>
      <w:tr w:rsidR="00497A9C" w:rsidRPr="00497A9C" w:rsidTr="00305E15">
        <w:trPr>
          <w:trHeight w:val="5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Назва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установи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КПКВК МБ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Пропонується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виділити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497A9C" w:rsidRDefault="00497A9C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>обгрунтування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запиту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ГРК</w:t>
            </w:r>
          </w:p>
        </w:tc>
      </w:tr>
      <w:tr w:rsidR="00497A9C" w:rsidRPr="00497A9C" w:rsidTr="00305E15">
        <w:trPr>
          <w:trHeight w:val="697"/>
        </w:trPr>
        <w:tc>
          <w:tcPr>
            <w:tcW w:w="16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97A9C" w:rsidRPr="002F24B9" w:rsidRDefault="002F24B9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Субвенція з місцевого бюджету на реалізацію інфраструктурних проектів та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обєктів</w:t>
            </w:r>
            <w:proofErr w:type="spellEnd"/>
            <w:r w:rsidR="00FB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соціально-культурної сфери за рахунок залишку коштів </w:t>
            </w:r>
            <w:proofErr w:type="spellStart"/>
            <w:r w:rsidR="00FB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віповідної</w:t>
            </w:r>
            <w:proofErr w:type="spellEnd"/>
            <w:r w:rsidR="00FB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субвенції з державного бюджету, що утворився на початок бюджетного періоду</w:t>
            </w:r>
          </w:p>
        </w:tc>
      </w:tr>
      <w:tr w:rsidR="00300659" w:rsidRPr="00C8451E" w:rsidTr="00305E15">
        <w:trPr>
          <w:trHeight w:val="8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305E15" w:rsidRDefault="00305E15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 ВКМР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59" w:rsidRPr="002F0B3A" w:rsidRDefault="002B3F5F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7321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659" w:rsidRPr="002F0B3A" w:rsidRDefault="00305E15" w:rsidP="002B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-9 490 921,32</w:t>
            </w:r>
          </w:p>
        </w:tc>
        <w:tc>
          <w:tcPr>
            <w:tcW w:w="1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9" w:rsidRPr="002B3F5F" w:rsidRDefault="002B3F5F" w:rsidP="002B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Нове будівництво закладу дошкільної освіти (ясла садок) по вул. Енергетиків, м. </w:t>
            </w:r>
            <w:proofErr w:type="spellStart"/>
            <w:r w:rsidRPr="002B3F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</w:t>
            </w:r>
            <w:proofErr w:type="spellEnd"/>
            <w:r w:rsidRPr="002B3F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Хмельницької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КЕКВ 3122</w:t>
            </w:r>
          </w:p>
        </w:tc>
      </w:tr>
      <w:tr w:rsidR="00300659" w:rsidRPr="00497A9C" w:rsidTr="00305E15">
        <w:trPr>
          <w:trHeight w:val="303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497A9C" w:rsidRDefault="00305E15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59" w:rsidRPr="00305E15" w:rsidRDefault="00305E15" w:rsidP="00300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-9 490 921,32</w:t>
            </w:r>
          </w:p>
        </w:tc>
        <w:tc>
          <w:tcPr>
            <w:tcW w:w="1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305E15" w:rsidRDefault="00300659" w:rsidP="00300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00659" w:rsidRPr="00497A9C" w:rsidTr="00305E15">
        <w:trPr>
          <w:trHeight w:val="270"/>
        </w:trPr>
        <w:tc>
          <w:tcPr>
            <w:tcW w:w="16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300659" w:rsidRPr="00497A9C" w:rsidRDefault="00FB2A42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</w:t>
            </w:r>
            <w:r w:rsidR="00300659" w:rsidRPr="0049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ЬНИЙ ФОНД</w:t>
            </w:r>
          </w:p>
        </w:tc>
      </w:tr>
      <w:tr w:rsidR="00300659" w:rsidRPr="00633A0C" w:rsidTr="00305E15">
        <w:trPr>
          <w:trHeight w:val="9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Виконавчий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комітет</w:t>
            </w:r>
            <w:proofErr w:type="spellEnd"/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НМР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2F0B3A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2F0B3A" w:rsidRDefault="00305E15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9 490 921,32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2F0B3A" w:rsidRDefault="00330A7A" w:rsidP="0030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Програма</w:t>
            </w:r>
            <w:r w:rsidR="00305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заходів національного спротиву </w:t>
            </w:r>
            <w:proofErr w:type="spellStart"/>
            <w:r w:rsidR="00305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Нетішинської</w:t>
            </w:r>
            <w:proofErr w:type="spellEnd"/>
            <w:r w:rsidR="00305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міської територіальної громади на 2022 рік</w:t>
            </w:r>
            <w:r w:rsidR="00C769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="00305E15"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69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00659"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абезпечення безперебійного функціонування установ і закладів бюджетної сфери, комунальних </w:t>
            </w:r>
            <w:proofErr w:type="spellStart"/>
            <w:r w:rsidR="00300659"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підрприємств</w:t>
            </w:r>
            <w:proofErr w:type="spellEnd"/>
            <w:r w:rsidR="00300659"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задоволення </w:t>
            </w:r>
            <w:proofErr w:type="spellStart"/>
            <w:r w:rsidR="00300659"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життєво</w:t>
            </w:r>
            <w:proofErr w:type="spellEnd"/>
            <w:r w:rsidR="00300659" w:rsidRPr="002F0B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необхідних потреб жителів територіальної </w:t>
            </w:r>
            <w:r w:rsidR="003006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305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придбання предметів, матеріалів, тощо для підрозділів територіальної оборони, добровольчих формувань, сил опору, функціонування </w:t>
            </w:r>
            <w:proofErr w:type="spellStart"/>
            <w:r w:rsidR="00305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обєктів</w:t>
            </w:r>
            <w:proofErr w:type="spellEnd"/>
            <w:r w:rsidR="00305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критичної інфраструктури та інші заходи щодо забезпечення життєдіяльності населення</w:t>
            </w:r>
            <w:r w:rsidR="003006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період воєнного стану </w:t>
            </w:r>
            <w:r w:rsidR="002B3F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КЕКВ 2210</w:t>
            </w:r>
          </w:p>
        </w:tc>
      </w:tr>
      <w:tr w:rsidR="00300659" w:rsidRPr="00497A9C" w:rsidTr="00305E15">
        <w:trPr>
          <w:trHeight w:val="42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497A9C" w:rsidRDefault="00305E15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59" w:rsidRPr="00305E15" w:rsidRDefault="00305E15" w:rsidP="00300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9 490 921,32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00659" w:rsidRPr="00497A9C" w:rsidTr="00305E15">
        <w:trPr>
          <w:trHeight w:val="8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0659" w:rsidRPr="00497A9C" w:rsidTr="00305E15">
        <w:trPr>
          <w:trHeight w:val="314"/>
        </w:trPr>
        <w:tc>
          <w:tcPr>
            <w:tcW w:w="16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300659" w:rsidRPr="005E2B67" w:rsidRDefault="00300659" w:rsidP="00C7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5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ПЕРЕМІЩЕННЯ БЮДЖЕТНИХ ПРИЗНАЧЕНЬ </w:t>
            </w:r>
            <w:r w:rsidRPr="00B2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="002B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(загальний фонд)</w:t>
            </w:r>
          </w:p>
        </w:tc>
      </w:tr>
      <w:tr w:rsidR="00300659" w:rsidRPr="005E2B67" w:rsidTr="00305E15">
        <w:trPr>
          <w:trHeight w:val="81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DC5AEF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НМР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59" w:rsidRPr="00497A9C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59" w:rsidRPr="00497A9C" w:rsidRDefault="002B3F5F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00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7C7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769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80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769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0 000</w:t>
            </w:r>
            <w:r w:rsidR="00300659" w:rsidRPr="00497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59" w:rsidRPr="002B3F5F" w:rsidRDefault="00300659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Зменшення видатків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 фінансування </w:t>
            </w:r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заходів державного, обласного, місцевого значення у </w:t>
            </w:r>
            <w:proofErr w:type="spellStart"/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Нетішинській</w:t>
            </w:r>
            <w:proofErr w:type="spellEnd"/>
            <w:r w:rsidRPr="005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- </w:t>
            </w:r>
            <w:r w:rsidRPr="00EE2F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Програма фінансування заходів державного, обласного, місцевого значення у </w:t>
            </w:r>
            <w:proofErr w:type="spellStart"/>
            <w:r w:rsidRPr="00EE2F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Нетішинській</w:t>
            </w:r>
            <w:proofErr w:type="spellEnd"/>
            <w:r w:rsidRPr="00EE2F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ТГ на 2021-2023 роки.</w:t>
            </w:r>
            <w:r w:rsidR="002B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КЕКВ 2210 – </w:t>
            </w:r>
            <w:r w:rsidR="00B80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2B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0 000 грн., КЕКВ 2240 – 180 000 грн.</w:t>
            </w:r>
          </w:p>
        </w:tc>
      </w:tr>
      <w:tr w:rsidR="007C7018" w:rsidRPr="00633A0C" w:rsidTr="00305E15">
        <w:trPr>
          <w:trHeight w:val="8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18" w:rsidRPr="005E2B67" w:rsidRDefault="007C7018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18" w:rsidRPr="007C7018" w:rsidRDefault="007C7018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18" w:rsidRDefault="007C7018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+        </w:t>
            </w:r>
            <w:r w:rsidR="00B80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18" w:rsidRPr="005E2B67" w:rsidRDefault="007C7018" w:rsidP="0030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Субвенція на придбання паливно-мастильних матеріалів, автомобільних шин, системного </w:t>
            </w:r>
            <w:proofErr w:type="spellStart"/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обладання</w:t>
            </w:r>
            <w:proofErr w:type="spellEnd"/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компютерної</w:t>
            </w:r>
            <w:proofErr w:type="spellEnd"/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оргтехніки, автомобільних </w:t>
            </w:r>
            <w:proofErr w:type="spellStart"/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відеореєстираторів</w:t>
            </w:r>
            <w:proofErr w:type="spellEnd"/>
            <w:r w:rsidRPr="007C70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проходження технічного огляду автомобілів </w:t>
            </w:r>
            <w:r w:rsidRPr="00DA0B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на виконання Комплексної програма профілактики правопорушень та боротьби зі злочинністю на території обслуговування відділу поліцейської дільниці №1 Шепетівського районного управління поліції Головного управління Національної поліції у Хмельницькій області на 2021-2025 роки</w:t>
            </w:r>
            <w:r w:rsidR="00110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КЕКВ 2620</w:t>
            </w:r>
          </w:p>
        </w:tc>
      </w:tr>
      <w:tr w:rsidR="007C7018" w:rsidRPr="00633A0C" w:rsidTr="00330A7A">
        <w:trPr>
          <w:trHeight w:val="8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18" w:rsidRPr="005E2B67" w:rsidRDefault="007C7018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18" w:rsidRDefault="00DA0B80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18" w:rsidRDefault="007C7018" w:rsidP="00DA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+       </w:t>
            </w:r>
            <w:r w:rsidR="00DA0B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7C7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0B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C7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18" w:rsidRPr="007C7018" w:rsidRDefault="00DA0B80" w:rsidP="00664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КП НМР ЖКО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: Відзначення з нагоди професійного свята</w:t>
            </w:r>
            <w:r w:rsidR="0066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працівників, </w:t>
            </w:r>
            <w:proofErr w:type="spellStart"/>
            <w:r w:rsidR="0066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фкі</w:t>
            </w:r>
            <w:proofErr w:type="spellEnd"/>
            <w:r w:rsidR="0066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працюють у посиленому режимі в умовах воєнного стану відповідно до</w:t>
            </w:r>
            <w:r w:rsidRPr="00110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програми підтримки комунальних підприємств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Нетішинської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6645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при умові внесення змін до програми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) КЕКВ 2610</w:t>
            </w:r>
          </w:p>
        </w:tc>
      </w:tr>
      <w:tr w:rsidR="00300659" w:rsidRPr="002B3F5F" w:rsidTr="00330A7A"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9" w:rsidRPr="007C7018" w:rsidRDefault="007C7018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7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59" w:rsidRPr="00DA0B80" w:rsidRDefault="00300659" w:rsidP="003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18" w:rsidRPr="00DA0B80" w:rsidRDefault="007C7018" w:rsidP="00DA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  <w:r w:rsidR="00DA0B80"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300</w:t>
            </w:r>
            <w:r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A0B80"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9" w:rsidRPr="005E2B67" w:rsidRDefault="00300659" w:rsidP="00C76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76958" w:rsidRPr="002B3F5F" w:rsidTr="00330A7A">
        <w:trPr>
          <w:trHeight w:val="561"/>
        </w:trPr>
        <w:tc>
          <w:tcPr>
            <w:tcW w:w="16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58" w:rsidRPr="005E2B67" w:rsidRDefault="00D76958" w:rsidP="00D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5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ПЕРЕМІЩЕННЯ БЮДЖЕТНИХ ПРИЗНАЧЕНЬ </w:t>
            </w:r>
            <w:r w:rsidRPr="00B2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(спеціальний фонд)</w:t>
            </w:r>
          </w:p>
        </w:tc>
      </w:tr>
      <w:tr w:rsidR="00201199" w:rsidRPr="00497A9C" w:rsidTr="00FD70C2">
        <w:trPr>
          <w:trHeight w:val="31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99" w:rsidRPr="002B3F5F" w:rsidRDefault="00201199" w:rsidP="00D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B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Виконавчий</w:t>
            </w:r>
            <w:proofErr w:type="spellEnd"/>
            <w:r w:rsidRPr="002B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комітет</w:t>
            </w:r>
            <w:proofErr w:type="spellEnd"/>
            <w:r w:rsidRPr="002B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НМР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199" w:rsidRPr="00D76958" w:rsidRDefault="00201199" w:rsidP="00DA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7350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99" w:rsidRPr="00D76958" w:rsidRDefault="00201199" w:rsidP="00DA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        300 000</w:t>
            </w:r>
            <w:r w:rsidRPr="00D76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99" w:rsidRPr="00D76958" w:rsidRDefault="00201199" w:rsidP="0011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Виконком: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645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несення</w:t>
            </w:r>
            <w:proofErr w:type="spellEnd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генерального плану та плану </w:t>
            </w:r>
            <w:proofErr w:type="spellStart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>зонування</w:t>
            </w:r>
            <w:proofErr w:type="spellEnd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53A"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на виконання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</w:t>
            </w:r>
            <w:proofErr w:type="spellEnd"/>
            <w:r w:rsidR="0011053A"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забезпечення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містобудівною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документацією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міста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Нетішин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2021-2022 роки</w:t>
            </w:r>
            <w:r w:rsidRPr="00D7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КЕКВ 2281</w:t>
            </w:r>
          </w:p>
        </w:tc>
      </w:tr>
      <w:tr w:rsidR="00330A7A" w:rsidRPr="00497A9C" w:rsidTr="00FD70C2">
        <w:trPr>
          <w:trHeight w:val="31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11053A" w:rsidRDefault="00330A7A" w:rsidP="0033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A7A" w:rsidRDefault="00330A7A" w:rsidP="0033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8340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11053A" w:rsidRDefault="00330A7A" w:rsidP="0033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110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163 500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DA0B80" w:rsidRDefault="00664536" w:rsidP="00330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0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Виконком: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330A7A" w:rsidRPr="002011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меншення бюджетних призначень на природоохоронні заходи</w:t>
            </w:r>
            <w:r w:rsidR="00330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30A7A" w:rsidRPr="002011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КЕКВ 2210</w:t>
            </w:r>
            <w:r w:rsidR="00330A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="00330A7A"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а виконання Програма природоохоронних заходів </w:t>
            </w:r>
            <w:proofErr w:type="spellStart"/>
            <w:r w:rsidR="00330A7A"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Нетішинської</w:t>
            </w:r>
            <w:proofErr w:type="spellEnd"/>
            <w:r w:rsidR="00330A7A"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міської територіальної громади на 2022 рік</w:t>
            </w:r>
          </w:p>
        </w:tc>
      </w:tr>
      <w:tr w:rsidR="00330A7A" w:rsidRPr="00497A9C" w:rsidTr="00FD70C2">
        <w:trPr>
          <w:trHeight w:val="31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11053A" w:rsidRDefault="00330A7A" w:rsidP="0033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A7A" w:rsidRDefault="00330A7A" w:rsidP="0033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8340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Default="00330A7A" w:rsidP="00330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+       163 500</w:t>
            </w:r>
          </w:p>
        </w:tc>
        <w:tc>
          <w:tcPr>
            <w:tcW w:w="1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DA0B80" w:rsidRDefault="00330A7A" w:rsidP="00330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КП НМР «Благоустрій»: </w:t>
            </w:r>
            <w:r w:rsidR="006645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011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більшення бюджетних призначень на природоохоронні заходи КЕКВ 2610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на виконання Програми природоохоронних заходів </w:t>
            </w:r>
            <w:proofErr w:type="spellStart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Нетішинської</w:t>
            </w:r>
            <w:proofErr w:type="spellEnd"/>
            <w:r w:rsidRPr="00110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міської територіальної громади на 2022 рік</w:t>
            </w:r>
          </w:p>
        </w:tc>
      </w:tr>
      <w:tr w:rsidR="00330A7A" w:rsidRPr="00497A9C" w:rsidTr="00330A7A">
        <w:trPr>
          <w:trHeight w:val="417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A7A" w:rsidRPr="007C7018" w:rsidRDefault="00330A7A" w:rsidP="0033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7C7018" w:rsidRDefault="00330A7A" w:rsidP="0033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-300 000 </w:t>
            </w:r>
          </w:p>
        </w:tc>
        <w:tc>
          <w:tcPr>
            <w:tcW w:w="1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7A" w:rsidRPr="00D76958" w:rsidRDefault="00330A7A" w:rsidP="0033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7018" w:rsidRDefault="007C7018" w:rsidP="00B22DE0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C7018" w:rsidRDefault="007C7018" w:rsidP="00B22DE0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148B8" w:rsidRPr="001148B8" w:rsidRDefault="001148B8" w:rsidP="00B22DE0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фінансового управління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КРАВЧУК</w:t>
      </w:r>
    </w:p>
    <w:sectPr w:rsidR="001148B8" w:rsidRPr="001148B8" w:rsidSect="00EE2F68">
      <w:pgSz w:w="16838" w:h="11906" w:orient="landscape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EA" w:rsidRDefault="00D914EA" w:rsidP="00CB5A82">
      <w:pPr>
        <w:spacing w:after="0" w:line="240" w:lineRule="auto"/>
      </w:pPr>
      <w:r>
        <w:separator/>
      </w:r>
    </w:p>
  </w:endnote>
  <w:endnote w:type="continuationSeparator" w:id="0">
    <w:p w:rsidR="00D914EA" w:rsidRDefault="00D914EA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EA" w:rsidRDefault="00D914EA" w:rsidP="00CB5A82">
      <w:pPr>
        <w:spacing w:after="0" w:line="240" w:lineRule="auto"/>
      </w:pPr>
      <w:r>
        <w:separator/>
      </w:r>
    </w:p>
  </w:footnote>
  <w:footnote w:type="continuationSeparator" w:id="0">
    <w:p w:rsidR="00D914EA" w:rsidRDefault="00D914EA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CB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0C">
          <w:rPr>
            <w:noProof/>
          </w:rPr>
          <w:t>3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115"/>
    <w:multiLevelType w:val="hybridMultilevel"/>
    <w:tmpl w:val="2DC06296"/>
    <w:lvl w:ilvl="0" w:tplc="5BF8BE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3E1"/>
    <w:multiLevelType w:val="hybridMultilevel"/>
    <w:tmpl w:val="5204F06C"/>
    <w:lvl w:ilvl="0" w:tplc="DBBAF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3B5C"/>
    <w:multiLevelType w:val="hybridMultilevel"/>
    <w:tmpl w:val="5F9E9A8E"/>
    <w:lvl w:ilvl="0" w:tplc="67080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01DB"/>
    <w:multiLevelType w:val="hybridMultilevel"/>
    <w:tmpl w:val="74BE1A48"/>
    <w:lvl w:ilvl="0" w:tplc="65BEB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75587"/>
    <w:multiLevelType w:val="hybridMultilevel"/>
    <w:tmpl w:val="8208E3EC"/>
    <w:lvl w:ilvl="0" w:tplc="5D46B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91DFF"/>
    <w:multiLevelType w:val="hybridMultilevel"/>
    <w:tmpl w:val="B5E82E94"/>
    <w:lvl w:ilvl="0" w:tplc="D4881F6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85048"/>
    <w:multiLevelType w:val="hybridMultilevel"/>
    <w:tmpl w:val="7C60013C"/>
    <w:lvl w:ilvl="0" w:tplc="2196FC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915CA"/>
    <w:multiLevelType w:val="hybridMultilevel"/>
    <w:tmpl w:val="A6E64E3C"/>
    <w:lvl w:ilvl="0" w:tplc="FD22BC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5FD6"/>
    <w:multiLevelType w:val="hybridMultilevel"/>
    <w:tmpl w:val="827C3FD8"/>
    <w:lvl w:ilvl="0" w:tplc="1C9CCB94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535C9"/>
    <w:rsid w:val="000537D0"/>
    <w:rsid w:val="000614A7"/>
    <w:rsid w:val="00066BA6"/>
    <w:rsid w:val="000E7B34"/>
    <w:rsid w:val="00105056"/>
    <w:rsid w:val="0011053A"/>
    <w:rsid w:val="001148B8"/>
    <w:rsid w:val="001B2CE7"/>
    <w:rsid w:val="001D1788"/>
    <w:rsid w:val="00201199"/>
    <w:rsid w:val="00245EA8"/>
    <w:rsid w:val="002628C7"/>
    <w:rsid w:val="0027567F"/>
    <w:rsid w:val="002B3F5F"/>
    <w:rsid w:val="002F0B3A"/>
    <w:rsid w:val="002F24B9"/>
    <w:rsid w:val="00300659"/>
    <w:rsid w:val="00305E15"/>
    <w:rsid w:val="00330A7A"/>
    <w:rsid w:val="003530D9"/>
    <w:rsid w:val="003541F3"/>
    <w:rsid w:val="00370655"/>
    <w:rsid w:val="00370C68"/>
    <w:rsid w:val="0038448F"/>
    <w:rsid w:val="00394040"/>
    <w:rsid w:val="003A189B"/>
    <w:rsid w:val="00497A9C"/>
    <w:rsid w:val="004A73CF"/>
    <w:rsid w:val="005611DD"/>
    <w:rsid w:val="005C2691"/>
    <w:rsid w:val="005E2B67"/>
    <w:rsid w:val="00633A0C"/>
    <w:rsid w:val="00664536"/>
    <w:rsid w:val="006B3C69"/>
    <w:rsid w:val="006B4898"/>
    <w:rsid w:val="006B54A2"/>
    <w:rsid w:val="00734548"/>
    <w:rsid w:val="0076352E"/>
    <w:rsid w:val="00784E8D"/>
    <w:rsid w:val="007B7BFA"/>
    <w:rsid w:val="007C7018"/>
    <w:rsid w:val="007E0002"/>
    <w:rsid w:val="00841E04"/>
    <w:rsid w:val="0085759D"/>
    <w:rsid w:val="0093246D"/>
    <w:rsid w:val="00993C78"/>
    <w:rsid w:val="00993D3D"/>
    <w:rsid w:val="009B2243"/>
    <w:rsid w:val="009E73D6"/>
    <w:rsid w:val="00A108C5"/>
    <w:rsid w:val="00A6746E"/>
    <w:rsid w:val="00A816CB"/>
    <w:rsid w:val="00B22DE0"/>
    <w:rsid w:val="00B4130C"/>
    <w:rsid w:val="00B67626"/>
    <w:rsid w:val="00B8024D"/>
    <w:rsid w:val="00BE6E1D"/>
    <w:rsid w:val="00BF62AC"/>
    <w:rsid w:val="00C76700"/>
    <w:rsid w:val="00C76959"/>
    <w:rsid w:val="00C8451E"/>
    <w:rsid w:val="00CA4337"/>
    <w:rsid w:val="00CB5A82"/>
    <w:rsid w:val="00CD05D9"/>
    <w:rsid w:val="00CD4A3D"/>
    <w:rsid w:val="00D01316"/>
    <w:rsid w:val="00D11540"/>
    <w:rsid w:val="00D30E42"/>
    <w:rsid w:val="00D36530"/>
    <w:rsid w:val="00D657A0"/>
    <w:rsid w:val="00D76958"/>
    <w:rsid w:val="00D914EA"/>
    <w:rsid w:val="00DA0B80"/>
    <w:rsid w:val="00DA3EFC"/>
    <w:rsid w:val="00DC5AEF"/>
    <w:rsid w:val="00DF6E27"/>
    <w:rsid w:val="00E26C12"/>
    <w:rsid w:val="00EA62BD"/>
    <w:rsid w:val="00ED5A94"/>
    <w:rsid w:val="00EE214B"/>
    <w:rsid w:val="00EE2F68"/>
    <w:rsid w:val="00F32D7B"/>
    <w:rsid w:val="00F847E0"/>
    <w:rsid w:val="00FB2A42"/>
    <w:rsid w:val="00FB3693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549A"/>
  <w15:chartTrackingRefBased/>
  <w15:docId w15:val="{B6CE55DD-6980-41A1-81BB-A03082C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  <w:style w:type="paragraph" w:styleId="a9">
    <w:name w:val="Balloon Text"/>
    <w:basedOn w:val="a"/>
    <w:link w:val="aa"/>
    <w:uiPriority w:val="99"/>
    <w:semiHidden/>
    <w:unhideWhenUsed/>
    <w:rsid w:val="0033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EB57-6B16-450D-BB4E-F51ECEC8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2022-03-29T07:16:00Z</cp:lastPrinted>
  <dcterms:created xsi:type="dcterms:W3CDTF">2022-03-28T11:08:00Z</dcterms:created>
  <dcterms:modified xsi:type="dcterms:W3CDTF">2022-03-29T13:58:00Z</dcterms:modified>
</cp:coreProperties>
</file>