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7C" w:rsidRPr="005C71C6" w:rsidRDefault="00893B7C" w:rsidP="00893B7C">
      <w:pPr>
        <w:pStyle w:val="a5"/>
        <w:ind w:firstLine="0"/>
        <w:jc w:val="right"/>
        <w:rPr>
          <w:b/>
          <w:sz w:val="28"/>
          <w:szCs w:val="28"/>
        </w:rPr>
      </w:pPr>
      <w:r w:rsidRPr="005C71C6">
        <w:rPr>
          <w:b/>
          <w:sz w:val="28"/>
          <w:szCs w:val="28"/>
        </w:rPr>
        <w:t>ПРОЄКТ</w:t>
      </w:r>
    </w:p>
    <w:p w:rsidR="00893B7C" w:rsidRPr="005C71C6" w:rsidRDefault="0062572B" w:rsidP="00893B7C">
      <w:pPr>
        <w:pStyle w:val="a5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22673569" r:id="rId5"/>
        </w:object>
      </w:r>
      <w:r w:rsidR="00893B7C" w:rsidRPr="005C71C6">
        <w:rPr>
          <w:b/>
          <w:sz w:val="28"/>
          <w:szCs w:val="28"/>
        </w:rPr>
        <w:t>УКРАЇНА</w:t>
      </w:r>
    </w:p>
    <w:p w:rsidR="00893B7C" w:rsidRPr="005C71C6" w:rsidRDefault="00893B7C" w:rsidP="00893B7C">
      <w:pPr>
        <w:pStyle w:val="a5"/>
        <w:ind w:firstLine="0"/>
        <w:rPr>
          <w:b/>
          <w:smallCaps/>
          <w:sz w:val="28"/>
          <w:szCs w:val="28"/>
        </w:rPr>
      </w:pPr>
      <w:r w:rsidRPr="005C71C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C71C6">
        <w:rPr>
          <w:b/>
          <w:smallCaps/>
          <w:sz w:val="28"/>
          <w:szCs w:val="28"/>
        </w:rPr>
        <w:t>Нетішинської</w:t>
      </w:r>
      <w:proofErr w:type="spellEnd"/>
      <w:r w:rsidRPr="005C71C6">
        <w:rPr>
          <w:b/>
          <w:smallCaps/>
          <w:sz w:val="28"/>
          <w:szCs w:val="28"/>
        </w:rPr>
        <w:t xml:space="preserve"> міської ради</w:t>
      </w:r>
    </w:p>
    <w:p w:rsidR="00893B7C" w:rsidRPr="005C71C6" w:rsidRDefault="00893B7C" w:rsidP="00893B7C">
      <w:pPr>
        <w:pStyle w:val="a5"/>
        <w:ind w:firstLine="0"/>
        <w:rPr>
          <w:b/>
          <w:smallCaps/>
          <w:sz w:val="28"/>
          <w:szCs w:val="28"/>
        </w:rPr>
      </w:pPr>
      <w:r w:rsidRPr="005C71C6">
        <w:rPr>
          <w:b/>
          <w:smallCaps/>
          <w:sz w:val="28"/>
          <w:szCs w:val="28"/>
        </w:rPr>
        <w:t>Хмельницької області</w:t>
      </w:r>
    </w:p>
    <w:p w:rsidR="00893B7C" w:rsidRPr="005C71C6" w:rsidRDefault="00893B7C" w:rsidP="00893B7C">
      <w:pPr>
        <w:jc w:val="both"/>
        <w:rPr>
          <w:sz w:val="28"/>
          <w:szCs w:val="28"/>
          <w:lang w:eastAsia="uk-UA"/>
        </w:rPr>
      </w:pPr>
    </w:p>
    <w:p w:rsidR="00893B7C" w:rsidRPr="005C71C6" w:rsidRDefault="00893B7C" w:rsidP="00893B7C">
      <w:pPr>
        <w:jc w:val="center"/>
        <w:rPr>
          <w:b/>
          <w:sz w:val="32"/>
          <w:szCs w:val="32"/>
        </w:rPr>
      </w:pPr>
      <w:r w:rsidRPr="005C71C6">
        <w:rPr>
          <w:b/>
          <w:sz w:val="32"/>
          <w:szCs w:val="32"/>
        </w:rPr>
        <w:t xml:space="preserve">Р І Ш Е Н </w:t>
      </w:r>
      <w:proofErr w:type="spellStart"/>
      <w:r w:rsidRPr="005C71C6">
        <w:rPr>
          <w:b/>
          <w:sz w:val="32"/>
          <w:szCs w:val="32"/>
        </w:rPr>
        <w:t>Н</w:t>
      </w:r>
      <w:proofErr w:type="spellEnd"/>
      <w:r w:rsidRPr="005C71C6">
        <w:rPr>
          <w:b/>
          <w:sz w:val="32"/>
          <w:szCs w:val="32"/>
        </w:rPr>
        <w:t xml:space="preserve"> Я</w:t>
      </w:r>
    </w:p>
    <w:p w:rsidR="00893B7C" w:rsidRPr="005C71C6" w:rsidRDefault="00893B7C" w:rsidP="00893B7C">
      <w:pPr>
        <w:jc w:val="center"/>
        <w:rPr>
          <w:b/>
          <w:sz w:val="28"/>
          <w:szCs w:val="28"/>
          <w:lang w:eastAsia="uk-UA"/>
        </w:rPr>
      </w:pPr>
    </w:p>
    <w:p w:rsidR="00893B7C" w:rsidRPr="005C71C6" w:rsidRDefault="00893B7C" w:rsidP="00893B7C">
      <w:pPr>
        <w:jc w:val="both"/>
        <w:rPr>
          <w:b/>
          <w:sz w:val="28"/>
          <w:szCs w:val="28"/>
          <w:lang w:eastAsia="uk-UA"/>
        </w:rPr>
      </w:pPr>
      <w:r w:rsidRPr="005C71C6">
        <w:rPr>
          <w:b/>
          <w:sz w:val="28"/>
          <w:szCs w:val="28"/>
          <w:lang w:eastAsia="uk-UA"/>
        </w:rPr>
        <w:t>___.08.2022</w:t>
      </w:r>
      <w:r w:rsidRPr="005C71C6">
        <w:rPr>
          <w:b/>
          <w:sz w:val="28"/>
          <w:szCs w:val="28"/>
          <w:lang w:eastAsia="uk-UA"/>
        </w:rPr>
        <w:tab/>
      </w:r>
      <w:r w:rsidRPr="005C71C6">
        <w:rPr>
          <w:b/>
          <w:sz w:val="28"/>
          <w:szCs w:val="28"/>
          <w:lang w:eastAsia="uk-UA"/>
        </w:rPr>
        <w:tab/>
      </w:r>
      <w:r w:rsidRPr="005C71C6">
        <w:rPr>
          <w:b/>
          <w:sz w:val="28"/>
          <w:szCs w:val="28"/>
          <w:lang w:eastAsia="uk-UA"/>
        </w:rPr>
        <w:tab/>
      </w:r>
      <w:r w:rsidRPr="005C71C6">
        <w:rPr>
          <w:b/>
          <w:sz w:val="28"/>
          <w:szCs w:val="28"/>
          <w:lang w:eastAsia="uk-UA"/>
        </w:rPr>
        <w:tab/>
      </w:r>
      <w:r w:rsidRPr="005C71C6">
        <w:rPr>
          <w:b/>
          <w:sz w:val="28"/>
          <w:szCs w:val="28"/>
          <w:lang w:eastAsia="uk-UA"/>
        </w:rPr>
        <w:tab/>
        <w:t>Нетішин</w:t>
      </w:r>
      <w:r w:rsidRPr="005C71C6">
        <w:rPr>
          <w:b/>
          <w:sz w:val="28"/>
          <w:szCs w:val="28"/>
          <w:lang w:eastAsia="uk-UA"/>
        </w:rPr>
        <w:tab/>
      </w:r>
      <w:r w:rsidRPr="005C71C6">
        <w:rPr>
          <w:b/>
          <w:sz w:val="28"/>
          <w:szCs w:val="28"/>
          <w:lang w:eastAsia="uk-UA"/>
        </w:rPr>
        <w:tab/>
      </w:r>
      <w:r w:rsidRPr="005C71C6">
        <w:rPr>
          <w:b/>
          <w:sz w:val="28"/>
          <w:szCs w:val="28"/>
          <w:lang w:eastAsia="uk-UA"/>
        </w:rPr>
        <w:tab/>
      </w:r>
      <w:r w:rsidRPr="005C71C6">
        <w:rPr>
          <w:b/>
          <w:sz w:val="28"/>
          <w:szCs w:val="28"/>
          <w:lang w:eastAsia="uk-UA"/>
        </w:rPr>
        <w:tab/>
        <w:t xml:space="preserve">  № ____/2022</w:t>
      </w:r>
    </w:p>
    <w:p w:rsidR="00893B7C" w:rsidRPr="00647E71" w:rsidRDefault="00893B7C" w:rsidP="00893B7C">
      <w:pPr>
        <w:ind w:right="3968"/>
        <w:jc w:val="both"/>
        <w:rPr>
          <w:sz w:val="20"/>
          <w:szCs w:val="20"/>
        </w:rPr>
      </w:pPr>
    </w:p>
    <w:p w:rsidR="00893B7C" w:rsidRPr="005C71C6" w:rsidRDefault="00893B7C" w:rsidP="00647E71">
      <w:pPr>
        <w:ind w:right="2692"/>
        <w:jc w:val="both"/>
        <w:rPr>
          <w:sz w:val="28"/>
          <w:szCs w:val="28"/>
        </w:rPr>
      </w:pPr>
      <w:r w:rsidRPr="005C71C6">
        <w:rPr>
          <w:sz w:val="28"/>
          <w:szCs w:val="28"/>
        </w:rPr>
        <w:t xml:space="preserve">Про внесення змін до рішення дев’ятнадцятої сесії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міської ради VIII скликання </w:t>
      </w:r>
      <w:r w:rsidRPr="005C71C6">
        <w:rPr>
          <w:bCs/>
          <w:sz w:val="28"/>
          <w:szCs w:val="28"/>
        </w:rPr>
        <w:t xml:space="preserve">від </w:t>
      </w:r>
      <w:r w:rsidRPr="005C71C6">
        <w:rPr>
          <w:sz w:val="28"/>
          <w:szCs w:val="28"/>
        </w:rPr>
        <w:t xml:space="preserve">11 лютого 2022 року № 19/1306 «Про комплексну програму щодо забезпечення казначейського обслуговування на території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міської територіальної громади на 2022 рік»</w:t>
      </w:r>
    </w:p>
    <w:p w:rsidR="00893B7C" w:rsidRPr="00647E71" w:rsidRDefault="00893B7C" w:rsidP="00893B7C">
      <w:pPr>
        <w:jc w:val="both"/>
        <w:rPr>
          <w:sz w:val="20"/>
          <w:szCs w:val="20"/>
          <w:highlight w:val="yellow"/>
        </w:rPr>
      </w:pPr>
    </w:p>
    <w:p w:rsidR="00893B7C" w:rsidRPr="005C71C6" w:rsidRDefault="00893B7C" w:rsidP="00893B7C">
      <w:pPr>
        <w:ind w:firstLine="567"/>
        <w:jc w:val="both"/>
        <w:rPr>
          <w:sz w:val="28"/>
          <w:szCs w:val="28"/>
        </w:rPr>
      </w:pPr>
      <w:r w:rsidRPr="005C71C6">
        <w:rPr>
          <w:sz w:val="28"/>
          <w:szCs w:val="28"/>
        </w:rPr>
        <w:t xml:space="preserve">Відповідно до пункту 3 частини 4 статті 42 та статті 52 Закону України «Про місцеве самоврядування в Україні», указів Президента України від 24 лютого 2022 року № 64/2022 «Про введення воєнного стану в Україні», від 14 березня 2022 року № 133/2022 «Про продовження строку дії воєнного стану в Україні», </w:t>
      </w:r>
      <w:r w:rsidRPr="005C71C6">
        <w:rPr>
          <w:color w:val="000000"/>
          <w:sz w:val="28"/>
          <w:szCs w:val="28"/>
        </w:rPr>
        <w:t>від 18 квітня 2022 року № 259/2022 «Про продовження строку дії воєнного стану в Україні», від 17 травня 2022 року № 341/2022 «Про продовження строку дії воєнного стану в Україні», від 12 серпня 2022 року № 57</w:t>
      </w:r>
      <w:r w:rsidR="0062572B">
        <w:rPr>
          <w:color w:val="000000"/>
          <w:sz w:val="28"/>
          <w:szCs w:val="28"/>
        </w:rPr>
        <w:t>3</w:t>
      </w:r>
      <w:bookmarkStart w:id="0" w:name="_GoBack"/>
      <w:bookmarkEnd w:id="0"/>
      <w:r w:rsidRPr="005C71C6">
        <w:rPr>
          <w:color w:val="000000"/>
          <w:sz w:val="28"/>
          <w:szCs w:val="28"/>
        </w:rPr>
        <w:t xml:space="preserve">/2022 </w:t>
      </w:r>
      <w:r w:rsidRPr="005C71C6">
        <w:rPr>
          <w:sz w:val="28"/>
          <w:szCs w:val="28"/>
        </w:rPr>
        <w:t>«Про продовження строку дії воєнного стану в Україні», постанови Кабінету Міністрів України від 11 березня 2022 року № 252 «Деякі питання формування та виконання місцевих бюджетів у період воєнного стану», та з мето</w:t>
      </w:r>
      <w:r w:rsidR="00744C7B">
        <w:rPr>
          <w:sz w:val="28"/>
          <w:szCs w:val="28"/>
        </w:rPr>
        <w:t>ю розгляду звернення управління Державної казначейської служби України у м. </w:t>
      </w:r>
      <w:proofErr w:type="spellStart"/>
      <w:r w:rsidR="00744C7B">
        <w:rPr>
          <w:sz w:val="28"/>
          <w:szCs w:val="28"/>
        </w:rPr>
        <w:t>Нетішині</w:t>
      </w:r>
      <w:proofErr w:type="spellEnd"/>
      <w:r w:rsidR="00744C7B">
        <w:rPr>
          <w:sz w:val="28"/>
          <w:szCs w:val="28"/>
        </w:rPr>
        <w:t xml:space="preserve"> </w:t>
      </w:r>
      <w:r w:rsidR="00647E71">
        <w:rPr>
          <w:sz w:val="28"/>
          <w:szCs w:val="28"/>
        </w:rPr>
        <w:t>Хм</w:t>
      </w:r>
      <w:r w:rsidRPr="005C71C6">
        <w:rPr>
          <w:sz w:val="28"/>
          <w:szCs w:val="28"/>
        </w:rPr>
        <w:t>ельницької області</w:t>
      </w:r>
      <w:r w:rsidR="00647E71">
        <w:rPr>
          <w:sz w:val="28"/>
          <w:szCs w:val="28"/>
        </w:rPr>
        <w:t xml:space="preserve">, зареєстрованого у виконавчому комітеті </w:t>
      </w:r>
      <w:proofErr w:type="spellStart"/>
      <w:r w:rsidR="00647E71">
        <w:rPr>
          <w:sz w:val="28"/>
          <w:szCs w:val="28"/>
        </w:rPr>
        <w:t>Нетішинської</w:t>
      </w:r>
      <w:proofErr w:type="spellEnd"/>
      <w:r w:rsidR="00647E71">
        <w:rPr>
          <w:sz w:val="28"/>
          <w:szCs w:val="28"/>
        </w:rPr>
        <w:t xml:space="preserve"> міської ради 19 серпня 2022 року за № 27/2366-01-12/2022</w:t>
      </w:r>
      <w:r w:rsidRPr="005C71C6">
        <w:rPr>
          <w:sz w:val="28"/>
          <w:szCs w:val="28"/>
        </w:rPr>
        <w:t xml:space="preserve">, виконавчий комітет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міської ради    в и р і ш и в:</w:t>
      </w:r>
    </w:p>
    <w:p w:rsidR="00893B7C" w:rsidRPr="005C71C6" w:rsidRDefault="00893B7C" w:rsidP="00893B7C">
      <w:pPr>
        <w:ind w:firstLine="567"/>
        <w:jc w:val="both"/>
        <w:rPr>
          <w:sz w:val="14"/>
          <w:szCs w:val="14"/>
        </w:rPr>
      </w:pPr>
    </w:p>
    <w:p w:rsidR="00893B7C" w:rsidRPr="005C71C6" w:rsidRDefault="00893B7C" w:rsidP="00893B7C">
      <w:pPr>
        <w:ind w:firstLine="567"/>
        <w:jc w:val="both"/>
        <w:rPr>
          <w:sz w:val="28"/>
          <w:szCs w:val="28"/>
        </w:rPr>
      </w:pPr>
      <w:r w:rsidRPr="005C71C6">
        <w:rPr>
          <w:sz w:val="28"/>
          <w:szCs w:val="28"/>
        </w:rPr>
        <w:t xml:space="preserve">1. Унести до рішення дев’ятнадцятої сесії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міської ради               VIII скликання </w:t>
      </w:r>
      <w:r w:rsidRPr="005C71C6">
        <w:rPr>
          <w:bCs/>
          <w:sz w:val="28"/>
          <w:szCs w:val="28"/>
        </w:rPr>
        <w:t xml:space="preserve">від </w:t>
      </w:r>
      <w:r w:rsidRPr="005C71C6">
        <w:rPr>
          <w:sz w:val="28"/>
          <w:szCs w:val="28"/>
        </w:rPr>
        <w:t xml:space="preserve">11 лютого 2022 року № 19/1306 «Про комплексну програму щодо забезпечення казначейського обслуговування на території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міської територіальної громади на 2022 рік» такі зміни:</w:t>
      </w:r>
    </w:p>
    <w:p w:rsidR="00893B7C" w:rsidRPr="005C71C6" w:rsidRDefault="00893B7C" w:rsidP="00893B7C">
      <w:pPr>
        <w:ind w:firstLine="567"/>
        <w:jc w:val="both"/>
        <w:rPr>
          <w:sz w:val="28"/>
          <w:szCs w:val="28"/>
        </w:rPr>
      </w:pPr>
      <w:r w:rsidRPr="005C71C6">
        <w:rPr>
          <w:sz w:val="28"/>
          <w:szCs w:val="28"/>
        </w:rPr>
        <w:t>1.1. паспорт програми викласти у нов</w:t>
      </w:r>
      <w:r w:rsidR="00647E71">
        <w:rPr>
          <w:sz w:val="28"/>
          <w:szCs w:val="28"/>
        </w:rPr>
        <w:t>ій редакції згідно з додатком 1;</w:t>
      </w:r>
    </w:p>
    <w:p w:rsidR="00893B7C" w:rsidRPr="005C71C6" w:rsidRDefault="00893B7C" w:rsidP="00893B7C">
      <w:pPr>
        <w:ind w:firstLine="567"/>
        <w:jc w:val="both"/>
        <w:rPr>
          <w:sz w:val="28"/>
          <w:szCs w:val="28"/>
        </w:rPr>
      </w:pPr>
      <w:r w:rsidRPr="005C71C6">
        <w:rPr>
          <w:sz w:val="28"/>
          <w:szCs w:val="28"/>
        </w:rPr>
        <w:t>1.2. додаток до програми викласти у новій редакції згідно з додатком 2.</w:t>
      </w:r>
    </w:p>
    <w:p w:rsidR="00893B7C" w:rsidRPr="005C71C6" w:rsidRDefault="00893B7C" w:rsidP="00893B7C">
      <w:pPr>
        <w:ind w:firstLine="567"/>
        <w:jc w:val="both"/>
        <w:rPr>
          <w:sz w:val="28"/>
          <w:szCs w:val="28"/>
        </w:rPr>
      </w:pPr>
      <w:r w:rsidRPr="005C71C6">
        <w:rPr>
          <w:sz w:val="28"/>
          <w:szCs w:val="28"/>
        </w:rPr>
        <w:t xml:space="preserve">2. Фінансовому управлінню виконавчого комітету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міської ради (В. Кравчук) при внесенні змін до бюджету міста на 2022 рік передбачити кошти на виконання програми.</w:t>
      </w:r>
    </w:p>
    <w:p w:rsidR="00893B7C" w:rsidRPr="005C71C6" w:rsidRDefault="00893B7C" w:rsidP="00893B7C">
      <w:pPr>
        <w:ind w:firstLine="567"/>
        <w:jc w:val="both"/>
        <w:rPr>
          <w:sz w:val="28"/>
          <w:szCs w:val="28"/>
        </w:rPr>
      </w:pPr>
      <w:r w:rsidRPr="005C71C6">
        <w:rPr>
          <w:sz w:val="28"/>
          <w:szCs w:val="28"/>
        </w:rPr>
        <w:t>3. Контроль за виконанням цього рішення покласти на першого заступника міського голови Олену Хоменко.</w:t>
      </w:r>
    </w:p>
    <w:p w:rsidR="00893B7C" w:rsidRPr="00647E71" w:rsidRDefault="00893B7C" w:rsidP="00893B7C">
      <w:pPr>
        <w:jc w:val="both"/>
        <w:rPr>
          <w:sz w:val="20"/>
          <w:szCs w:val="20"/>
        </w:rPr>
      </w:pPr>
    </w:p>
    <w:p w:rsidR="00893B7C" w:rsidRPr="005C71C6" w:rsidRDefault="00893B7C" w:rsidP="00893B7C">
      <w:pPr>
        <w:jc w:val="both"/>
        <w:rPr>
          <w:sz w:val="28"/>
          <w:szCs w:val="28"/>
        </w:rPr>
      </w:pPr>
      <w:r w:rsidRPr="005C71C6">
        <w:rPr>
          <w:sz w:val="28"/>
          <w:szCs w:val="28"/>
        </w:rPr>
        <w:t>Міський голова</w:t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  <w:t>Олександр СУПРУНЮК</w:t>
      </w:r>
    </w:p>
    <w:p w:rsidR="00893B7C" w:rsidRPr="005C71C6" w:rsidRDefault="00893B7C" w:rsidP="00893B7C">
      <w:pPr>
        <w:ind w:left="4111"/>
        <w:jc w:val="both"/>
        <w:rPr>
          <w:sz w:val="28"/>
          <w:szCs w:val="28"/>
        </w:rPr>
      </w:pPr>
      <w:r w:rsidRPr="005C71C6">
        <w:rPr>
          <w:sz w:val="28"/>
          <w:szCs w:val="28"/>
        </w:rPr>
        <w:lastRenderedPageBreak/>
        <w:t>Додаток 1</w:t>
      </w:r>
    </w:p>
    <w:p w:rsidR="00893B7C" w:rsidRPr="005C71C6" w:rsidRDefault="00893B7C" w:rsidP="00893B7C">
      <w:pPr>
        <w:ind w:left="4111"/>
        <w:jc w:val="both"/>
        <w:rPr>
          <w:b/>
          <w:sz w:val="28"/>
          <w:szCs w:val="28"/>
        </w:rPr>
      </w:pPr>
      <w:r w:rsidRPr="005C71C6">
        <w:rPr>
          <w:b/>
          <w:sz w:val="28"/>
          <w:szCs w:val="28"/>
        </w:rPr>
        <w:t>ЗАТВЕРДЖЕНО</w:t>
      </w:r>
    </w:p>
    <w:p w:rsidR="00893B7C" w:rsidRPr="005C71C6" w:rsidRDefault="00893B7C" w:rsidP="00893B7C">
      <w:pPr>
        <w:ind w:left="4111"/>
        <w:jc w:val="both"/>
        <w:rPr>
          <w:sz w:val="28"/>
          <w:szCs w:val="28"/>
        </w:rPr>
      </w:pPr>
      <w:r w:rsidRPr="005C71C6">
        <w:rPr>
          <w:bCs/>
          <w:sz w:val="28"/>
          <w:szCs w:val="28"/>
        </w:rPr>
        <w:t xml:space="preserve">Рішення </w:t>
      </w:r>
      <w:r w:rsidRPr="005C71C6">
        <w:rPr>
          <w:sz w:val="28"/>
          <w:szCs w:val="28"/>
        </w:rPr>
        <w:t xml:space="preserve">дев’ятнадцятої сесії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</w:t>
      </w:r>
    </w:p>
    <w:p w:rsidR="00893B7C" w:rsidRPr="005C71C6" w:rsidRDefault="00893B7C" w:rsidP="00893B7C">
      <w:pPr>
        <w:ind w:left="4111"/>
        <w:jc w:val="both"/>
        <w:rPr>
          <w:sz w:val="28"/>
          <w:szCs w:val="28"/>
        </w:rPr>
      </w:pPr>
      <w:r w:rsidRPr="005C71C6">
        <w:rPr>
          <w:sz w:val="28"/>
          <w:szCs w:val="28"/>
        </w:rPr>
        <w:t xml:space="preserve">міської ради VIII скликання 11.02.2022 </w:t>
      </w:r>
    </w:p>
    <w:p w:rsidR="00893B7C" w:rsidRPr="005C71C6" w:rsidRDefault="00893B7C" w:rsidP="00893B7C">
      <w:pPr>
        <w:ind w:left="4111"/>
        <w:jc w:val="both"/>
        <w:rPr>
          <w:sz w:val="28"/>
          <w:szCs w:val="28"/>
        </w:rPr>
      </w:pPr>
      <w:r w:rsidRPr="005C71C6">
        <w:rPr>
          <w:sz w:val="28"/>
          <w:szCs w:val="28"/>
        </w:rPr>
        <w:t xml:space="preserve">№ 19/1306 (у редакції рішення виконавчого </w:t>
      </w:r>
    </w:p>
    <w:p w:rsidR="00893B7C" w:rsidRPr="005C71C6" w:rsidRDefault="00893B7C" w:rsidP="00893B7C">
      <w:pPr>
        <w:ind w:left="4111"/>
        <w:jc w:val="both"/>
        <w:rPr>
          <w:bCs/>
          <w:sz w:val="28"/>
          <w:szCs w:val="28"/>
        </w:rPr>
      </w:pPr>
      <w:r w:rsidRPr="005C71C6">
        <w:rPr>
          <w:sz w:val="28"/>
          <w:szCs w:val="28"/>
        </w:rPr>
        <w:t>комітету міської ради __.08.2022 № ___/2022)</w:t>
      </w:r>
    </w:p>
    <w:p w:rsidR="00893B7C" w:rsidRPr="005C71C6" w:rsidRDefault="00893B7C" w:rsidP="005C71C6">
      <w:pPr>
        <w:pStyle w:val="1"/>
        <w:rPr>
          <w:rFonts w:ascii="Times New Roman" w:hAnsi="Times New Roman"/>
          <w:b/>
          <w:sz w:val="28"/>
          <w:szCs w:val="28"/>
        </w:rPr>
      </w:pPr>
    </w:p>
    <w:p w:rsidR="00893B7C" w:rsidRPr="005C71C6" w:rsidRDefault="00893B7C" w:rsidP="00893B7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71C6">
        <w:rPr>
          <w:rFonts w:ascii="Times New Roman" w:hAnsi="Times New Roman"/>
          <w:b/>
          <w:sz w:val="28"/>
          <w:szCs w:val="28"/>
        </w:rPr>
        <w:t>Паспорт</w:t>
      </w:r>
    </w:p>
    <w:p w:rsidR="005C71C6" w:rsidRPr="005C71C6" w:rsidRDefault="005C71C6" w:rsidP="00893B7C">
      <w:pPr>
        <w:ind w:right="-1"/>
        <w:jc w:val="center"/>
        <w:rPr>
          <w:sz w:val="28"/>
          <w:szCs w:val="28"/>
        </w:rPr>
      </w:pPr>
      <w:r w:rsidRPr="005C71C6">
        <w:rPr>
          <w:sz w:val="28"/>
          <w:szCs w:val="28"/>
        </w:rPr>
        <w:t>к</w:t>
      </w:r>
      <w:r w:rsidR="00893B7C" w:rsidRPr="005C71C6">
        <w:rPr>
          <w:sz w:val="28"/>
          <w:szCs w:val="28"/>
        </w:rPr>
        <w:t xml:space="preserve">омплексної програми щодо забезпечення казначейського обслуговування </w:t>
      </w:r>
    </w:p>
    <w:p w:rsidR="00893B7C" w:rsidRPr="005C71C6" w:rsidRDefault="00893B7C" w:rsidP="00893B7C">
      <w:pPr>
        <w:ind w:right="-1"/>
        <w:jc w:val="center"/>
        <w:rPr>
          <w:sz w:val="28"/>
          <w:szCs w:val="28"/>
        </w:rPr>
      </w:pPr>
      <w:r w:rsidRPr="005C71C6">
        <w:rPr>
          <w:sz w:val="28"/>
          <w:szCs w:val="28"/>
        </w:rPr>
        <w:t xml:space="preserve">на території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міської територіальної громади на 2022 рік</w:t>
      </w:r>
    </w:p>
    <w:p w:rsidR="00893B7C" w:rsidRPr="005C71C6" w:rsidRDefault="00893B7C" w:rsidP="005C71C6">
      <w:pPr>
        <w:pStyle w:val="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5"/>
        <w:gridCol w:w="2001"/>
        <w:gridCol w:w="1442"/>
        <w:gridCol w:w="2118"/>
        <w:gridCol w:w="3703"/>
      </w:tblGrid>
      <w:tr w:rsidR="00893B7C" w:rsidRPr="005C71C6" w:rsidTr="00893B7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52" w:right="-52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893B7C">
            <w:pPr>
              <w:pStyle w:val="1"/>
              <w:ind w:left="-66" w:right="-66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893B7C" w:rsidRPr="005C71C6" w:rsidTr="00893B7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52" w:right="-52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893B7C">
            <w:pPr>
              <w:ind w:left="-66" w:right="-66"/>
              <w:rPr>
                <w:sz w:val="28"/>
                <w:szCs w:val="28"/>
              </w:rPr>
            </w:pPr>
            <w:r w:rsidRPr="005C71C6">
              <w:rPr>
                <w:sz w:val="28"/>
                <w:szCs w:val="28"/>
              </w:rPr>
              <w:t>Бюджетний кодекс України, Закон України «Про місцеве самоврядування в Україні»</w:t>
            </w:r>
          </w:p>
        </w:tc>
      </w:tr>
      <w:tr w:rsidR="00893B7C" w:rsidRPr="005C71C6" w:rsidTr="00893B7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52" w:right="-52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66" w:right="-66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5C71C6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C71C6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93B7C" w:rsidRPr="005C71C6" w:rsidTr="00893B7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52" w:right="-52"/>
              <w:rPr>
                <w:sz w:val="28"/>
                <w:szCs w:val="28"/>
                <w:lang w:val="uk-UA"/>
              </w:rPr>
            </w:pPr>
            <w:proofErr w:type="spellStart"/>
            <w:r w:rsidRPr="005C71C6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5C71C6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66" w:right="-66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>Управління Державної ка</w:t>
            </w:r>
            <w:r w:rsidR="005C71C6">
              <w:rPr>
                <w:sz w:val="28"/>
                <w:szCs w:val="28"/>
                <w:lang w:val="uk-UA"/>
              </w:rPr>
              <w:t>значейської служби України у м. </w:t>
            </w:r>
            <w:proofErr w:type="spellStart"/>
            <w:r w:rsidRPr="005C71C6">
              <w:rPr>
                <w:sz w:val="28"/>
                <w:szCs w:val="28"/>
                <w:lang w:val="uk-UA"/>
              </w:rPr>
              <w:t>Нетішині</w:t>
            </w:r>
            <w:proofErr w:type="spellEnd"/>
            <w:r w:rsidRPr="005C71C6">
              <w:rPr>
                <w:sz w:val="28"/>
                <w:szCs w:val="28"/>
                <w:lang w:val="uk-UA"/>
              </w:rPr>
              <w:t xml:space="preserve"> Хмельницької області</w:t>
            </w:r>
          </w:p>
        </w:tc>
      </w:tr>
      <w:tr w:rsidR="00893B7C" w:rsidRPr="005C71C6" w:rsidTr="00893B7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52" w:right="-52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66" w:right="-122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5C71C6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C71C6">
              <w:rPr>
                <w:sz w:val="28"/>
                <w:szCs w:val="28"/>
                <w:lang w:val="uk-UA"/>
              </w:rPr>
              <w:t xml:space="preserve"> міської ради, Управління Державної ка</w:t>
            </w:r>
            <w:r w:rsidR="005C71C6">
              <w:rPr>
                <w:sz w:val="28"/>
                <w:szCs w:val="28"/>
                <w:lang w:val="uk-UA"/>
              </w:rPr>
              <w:t>значейської служби України у м. </w:t>
            </w:r>
            <w:proofErr w:type="spellStart"/>
            <w:r w:rsidRPr="005C71C6">
              <w:rPr>
                <w:sz w:val="28"/>
                <w:szCs w:val="28"/>
                <w:lang w:val="uk-UA"/>
              </w:rPr>
              <w:t>Нетішині</w:t>
            </w:r>
            <w:proofErr w:type="spellEnd"/>
            <w:r w:rsidRPr="005C71C6">
              <w:rPr>
                <w:sz w:val="28"/>
                <w:szCs w:val="28"/>
                <w:lang w:val="uk-UA"/>
              </w:rPr>
              <w:t xml:space="preserve"> Хмельницької області</w:t>
            </w:r>
          </w:p>
        </w:tc>
      </w:tr>
      <w:tr w:rsidR="00893B7C" w:rsidRPr="005C71C6" w:rsidTr="00893B7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52" w:right="-52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66" w:right="-108"/>
              <w:rPr>
                <w:sz w:val="28"/>
                <w:szCs w:val="28"/>
                <w:lang w:val="uk-UA"/>
              </w:rPr>
            </w:pPr>
            <w:r w:rsidRPr="005C71C6">
              <w:rPr>
                <w:spacing w:val="-2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5C71C6">
              <w:rPr>
                <w:spacing w:val="-2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C71C6">
              <w:rPr>
                <w:spacing w:val="-2"/>
                <w:sz w:val="28"/>
                <w:szCs w:val="28"/>
                <w:lang w:val="uk-UA"/>
              </w:rPr>
              <w:t xml:space="preserve"> міської ради,</w:t>
            </w:r>
            <w:r w:rsidRPr="005C71C6">
              <w:rPr>
                <w:sz w:val="28"/>
                <w:szCs w:val="28"/>
                <w:lang w:val="uk-UA"/>
              </w:rPr>
              <w:t xml:space="preserve"> Управління Державної ка</w:t>
            </w:r>
            <w:r w:rsidR="005C71C6">
              <w:rPr>
                <w:sz w:val="28"/>
                <w:szCs w:val="28"/>
                <w:lang w:val="uk-UA"/>
              </w:rPr>
              <w:t>значейської служби України у м. </w:t>
            </w:r>
            <w:proofErr w:type="spellStart"/>
            <w:r w:rsidRPr="005C71C6">
              <w:rPr>
                <w:sz w:val="28"/>
                <w:szCs w:val="28"/>
                <w:lang w:val="uk-UA"/>
              </w:rPr>
              <w:t>Нетішині</w:t>
            </w:r>
            <w:proofErr w:type="spellEnd"/>
            <w:r w:rsidRPr="005C71C6">
              <w:rPr>
                <w:sz w:val="28"/>
                <w:szCs w:val="28"/>
                <w:lang w:val="uk-UA"/>
              </w:rPr>
              <w:t xml:space="preserve"> Хмельницької області</w:t>
            </w:r>
            <w:r w:rsidRPr="005C71C6">
              <w:rPr>
                <w:spacing w:val="-4"/>
                <w:sz w:val="28"/>
                <w:szCs w:val="28"/>
                <w:lang w:val="uk-UA"/>
              </w:rPr>
              <w:t xml:space="preserve">, фінансове управління виконавчого комітету </w:t>
            </w:r>
            <w:proofErr w:type="spellStart"/>
            <w:r w:rsidRPr="005C71C6">
              <w:rPr>
                <w:spacing w:val="-4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C71C6">
              <w:rPr>
                <w:spacing w:val="-4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93B7C" w:rsidRPr="005C71C6" w:rsidTr="00893B7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52" w:right="-136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893B7C">
            <w:pPr>
              <w:pStyle w:val="1"/>
              <w:ind w:left="-66" w:right="-66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 xml:space="preserve">2022 рік </w:t>
            </w:r>
          </w:p>
        </w:tc>
      </w:tr>
      <w:tr w:rsidR="00893B7C" w:rsidRPr="005C71C6" w:rsidTr="00893B7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"/>
              <w:ind w:left="-8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52" w:right="-122"/>
              <w:rPr>
                <w:sz w:val="28"/>
                <w:szCs w:val="28"/>
                <w:lang w:val="uk-UA"/>
              </w:rPr>
            </w:pPr>
            <w:r w:rsidRPr="005C71C6">
              <w:rPr>
                <w:sz w:val="28"/>
                <w:szCs w:val="28"/>
                <w:lang w:val="uk-UA"/>
              </w:rPr>
              <w:t xml:space="preserve">Етапи виконання програми </w:t>
            </w:r>
            <w:r w:rsidRPr="005C71C6">
              <w:rPr>
                <w:spacing w:val="-16"/>
                <w:sz w:val="28"/>
                <w:szCs w:val="28"/>
                <w:lang w:val="uk-UA"/>
              </w:rPr>
              <w:t>(для довгострокових програм)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C" w:rsidRPr="005C71C6" w:rsidRDefault="00893B7C">
            <w:pPr>
              <w:pStyle w:val="10"/>
              <w:snapToGrid w:val="0"/>
              <w:spacing w:before="0" w:after="0"/>
              <w:ind w:left="-66"/>
              <w:rPr>
                <w:sz w:val="28"/>
                <w:szCs w:val="28"/>
                <w:lang w:val="uk-UA"/>
              </w:rPr>
            </w:pPr>
          </w:p>
        </w:tc>
      </w:tr>
      <w:tr w:rsidR="00893B7C" w:rsidRPr="005C71C6" w:rsidTr="00893B7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>
            <w:pPr>
              <w:pStyle w:val="10"/>
              <w:spacing w:before="0" w:after="0"/>
              <w:ind w:left="-52" w:right="-164"/>
              <w:rPr>
                <w:sz w:val="28"/>
                <w:szCs w:val="28"/>
                <w:lang w:val="uk-UA"/>
              </w:rPr>
            </w:pPr>
            <w:r w:rsidRPr="005C71C6">
              <w:rPr>
                <w:spacing w:val="-20"/>
                <w:sz w:val="28"/>
                <w:szCs w:val="28"/>
                <w:lang w:val="uk-UA"/>
              </w:rPr>
              <w:t xml:space="preserve">Обсяги та джерела фінансування </w:t>
            </w:r>
          </w:p>
        </w:tc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5C71C6">
            <w:pPr>
              <w:pStyle w:val="1"/>
              <w:ind w:left="-66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 xml:space="preserve"> 57000,00 грн</w:t>
            </w:r>
          </w:p>
        </w:tc>
      </w:tr>
      <w:tr w:rsidR="00893B7C" w:rsidRPr="005C71C6" w:rsidTr="00893B7C">
        <w:trPr>
          <w:trHeight w:val="323"/>
        </w:trPr>
        <w:tc>
          <w:tcPr>
            <w:tcW w:w="2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 w:rsidP="005C71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Обсяг фінансування, грн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7C" w:rsidRPr="005C71C6" w:rsidRDefault="00893B7C" w:rsidP="005C71C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У тому числі за роками, грн</w:t>
            </w:r>
          </w:p>
        </w:tc>
      </w:tr>
      <w:tr w:rsidR="00893B7C" w:rsidRPr="005C71C6" w:rsidTr="00893B7C">
        <w:trPr>
          <w:trHeight w:val="322"/>
        </w:trPr>
        <w:tc>
          <w:tcPr>
            <w:tcW w:w="5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>
            <w:pPr>
              <w:suppressAutoHyphens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7C" w:rsidRPr="005C71C6" w:rsidRDefault="00893B7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2022 рік</w:t>
            </w:r>
          </w:p>
        </w:tc>
      </w:tr>
      <w:tr w:rsidR="00893B7C" w:rsidRPr="005C71C6" w:rsidTr="00893B7C">
        <w:trPr>
          <w:trHeight w:val="322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5C71C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Нетішинської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міської </w:t>
            </w:r>
            <w:r w:rsidR="00893B7C" w:rsidRPr="005C71C6">
              <w:rPr>
                <w:rFonts w:ascii="Times New Roman" w:eastAsia="Times New Roman" w:hAnsi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57 000,00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7C" w:rsidRPr="005C71C6" w:rsidRDefault="00893B7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1C6">
              <w:rPr>
                <w:rFonts w:ascii="Times New Roman" w:eastAsia="Times New Roman" w:hAnsi="Times New Roman"/>
                <w:sz w:val="28"/>
                <w:szCs w:val="28"/>
              </w:rPr>
              <w:t>57 000,00</w:t>
            </w:r>
          </w:p>
        </w:tc>
      </w:tr>
    </w:tbl>
    <w:p w:rsidR="00893B7C" w:rsidRDefault="00893B7C" w:rsidP="00893B7C">
      <w:pPr>
        <w:suppressAutoHyphens w:val="0"/>
        <w:rPr>
          <w:sz w:val="28"/>
          <w:szCs w:val="28"/>
        </w:rPr>
      </w:pPr>
    </w:p>
    <w:p w:rsidR="005C71C6" w:rsidRDefault="005C71C6" w:rsidP="00893B7C">
      <w:pPr>
        <w:suppressAutoHyphens w:val="0"/>
        <w:rPr>
          <w:sz w:val="28"/>
          <w:szCs w:val="28"/>
        </w:rPr>
      </w:pPr>
    </w:p>
    <w:p w:rsidR="005C71C6" w:rsidRDefault="005C71C6" w:rsidP="00893B7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5C71C6" w:rsidRDefault="005C71C6" w:rsidP="00893B7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5C71C6" w:rsidRDefault="005C71C6" w:rsidP="00893B7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Любов ОЦАБРИКА</w:t>
      </w:r>
    </w:p>
    <w:p w:rsidR="005C71C6" w:rsidRDefault="005C71C6" w:rsidP="00893B7C">
      <w:pPr>
        <w:suppressAutoHyphens w:val="0"/>
        <w:rPr>
          <w:sz w:val="28"/>
          <w:szCs w:val="28"/>
        </w:rPr>
      </w:pPr>
    </w:p>
    <w:p w:rsidR="005C71C6" w:rsidRPr="005C71C6" w:rsidRDefault="005C71C6" w:rsidP="00893B7C">
      <w:pPr>
        <w:suppressAutoHyphens w:val="0"/>
        <w:rPr>
          <w:sz w:val="28"/>
          <w:szCs w:val="28"/>
        </w:rPr>
        <w:sectPr w:rsidR="005C71C6" w:rsidRPr="005C71C6">
          <w:pgSz w:w="11906" w:h="16838"/>
          <w:pgMar w:top="1134" w:right="567" w:bottom="1134" w:left="1701" w:header="708" w:footer="708" w:gutter="0"/>
          <w:cols w:space="720"/>
        </w:sectPr>
      </w:pPr>
    </w:p>
    <w:p w:rsidR="005C71C6" w:rsidRPr="005C71C6" w:rsidRDefault="005C71C6" w:rsidP="005C71C6">
      <w:pPr>
        <w:ind w:left="10080"/>
        <w:jc w:val="both"/>
        <w:rPr>
          <w:sz w:val="28"/>
          <w:szCs w:val="28"/>
        </w:rPr>
      </w:pPr>
      <w:r w:rsidRPr="005C71C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</w:p>
    <w:p w:rsidR="005C71C6" w:rsidRPr="005C71C6" w:rsidRDefault="005C71C6" w:rsidP="005C71C6">
      <w:pPr>
        <w:ind w:left="10080"/>
        <w:jc w:val="both"/>
        <w:rPr>
          <w:b/>
          <w:sz w:val="28"/>
          <w:szCs w:val="28"/>
        </w:rPr>
      </w:pPr>
      <w:r w:rsidRPr="005C71C6">
        <w:rPr>
          <w:b/>
          <w:sz w:val="28"/>
          <w:szCs w:val="28"/>
        </w:rPr>
        <w:t>ЗАТВЕРДЖЕНО</w:t>
      </w:r>
    </w:p>
    <w:p w:rsidR="005C71C6" w:rsidRPr="005C71C6" w:rsidRDefault="005C71C6" w:rsidP="005C71C6">
      <w:pPr>
        <w:ind w:left="10080"/>
        <w:jc w:val="both"/>
        <w:rPr>
          <w:sz w:val="28"/>
          <w:szCs w:val="28"/>
        </w:rPr>
      </w:pPr>
      <w:r w:rsidRPr="005C71C6">
        <w:rPr>
          <w:bCs/>
          <w:sz w:val="28"/>
          <w:szCs w:val="28"/>
        </w:rPr>
        <w:t xml:space="preserve">Рішення </w:t>
      </w:r>
      <w:r w:rsidRPr="005C71C6">
        <w:rPr>
          <w:sz w:val="28"/>
          <w:szCs w:val="28"/>
        </w:rPr>
        <w:t xml:space="preserve">дев’ятнадцятої сесії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</w:t>
      </w:r>
    </w:p>
    <w:p w:rsidR="005C71C6" w:rsidRPr="005C71C6" w:rsidRDefault="005C71C6" w:rsidP="005C71C6">
      <w:pPr>
        <w:ind w:left="10080"/>
        <w:jc w:val="both"/>
        <w:rPr>
          <w:sz w:val="28"/>
          <w:szCs w:val="28"/>
        </w:rPr>
      </w:pPr>
      <w:r w:rsidRPr="005C71C6">
        <w:rPr>
          <w:sz w:val="28"/>
          <w:szCs w:val="28"/>
        </w:rPr>
        <w:t xml:space="preserve">міської ради VIII скликання 11.02.2022 </w:t>
      </w:r>
    </w:p>
    <w:p w:rsidR="005C71C6" w:rsidRPr="005C71C6" w:rsidRDefault="005C71C6" w:rsidP="005C71C6">
      <w:pPr>
        <w:ind w:left="10080"/>
        <w:jc w:val="both"/>
        <w:rPr>
          <w:sz w:val="28"/>
          <w:szCs w:val="28"/>
        </w:rPr>
      </w:pPr>
      <w:r w:rsidRPr="005C71C6">
        <w:rPr>
          <w:sz w:val="28"/>
          <w:szCs w:val="28"/>
        </w:rPr>
        <w:t xml:space="preserve">№ 19/1306 (у редакції рішення виконавчого </w:t>
      </w:r>
    </w:p>
    <w:p w:rsidR="00893B7C" w:rsidRDefault="005C71C6" w:rsidP="005C71C6">
      <w:pPr>
        <w:ind w:left="10080"/>
        <w:rPr>
          <w:sz w:val="28"/>
          <w:szCs w:val="28"/>
        </w:rPr>
      </w:pPr>
      <w:r w:rsidRPr="005C71C6">
        <w:rPr>
          <w:sz w:val="28"/>
          <w:szCs w:val="28"/>
        </w:rPr>
        <w:t>комітету міської ради __.08.2022 № ___/2022)</w:t>
      </w:r>
    </w:p>
    <w:p w:rsidR="005C71C6" w:rsidRDefault="005C71C6" w:rsidP="005C71C6">
      <w:pPr>
        <w:ind w:left="10080"/>
        <w:rPr>
          <w:sz w:val="28"/>
          <w:szCs w:val="28"/>
        </w:rPr>
      </w:pPr>
    </w:p>
    <w:p w:rsidR="005C71C6" w:rsidRDefault="005C71C6" w:rsidP="005C71C6">
      <w:pPr>
        <w:pStyle w:val="1"/>
        <w:jc w:val="right"/>
      </w:pPr>
      <w:r>
        <w:rPr>
          <w:rFonts w:ascii="Times New Roman" w:hAnsi="Times New Roman"/>
          <w:sz w:val="28"/>
          <w:szCs w:val="28"/>
        </w:rPr>
        <w:t xml:space="preserve">Додаток до програми </w:t>
      </w:r>
    </w:p>
    <w:p w:rsidR="005C71C6" w:rsidRPr="005C71C6" w:rsidRDefault="005C71C6" w:rsidP="005C71C6">
      <w:pPr>
        <w:rPr>
          <w:sz w:val="28"/>
          <w:szCs w:val="28"/>
        </w:rPr>
      </w:pPr>
    </w:p>
    <w:p w:rsidR="005C71C6" w:rsidRDefault="00893B7C" w:rsidP="00893B7C">
      <w:pPr>
        <w:ind w:right="-1"/>
        <w:jc w:val="center"/>
        <w:rPr>
          <w:sz w:val="28"/>
          <w:szCs w:val="28"/>
        </w:rPr>
      </w:pPr>
      <w:r w:rsidRPr="005C71C6">
        <w:rPr>
          <w:sz w:val="28"/>
          <w:szCs w:val="28"/>
        </w:rPr>
        <w:t xml:space="preserve">Перелік напрямків, завдань і заходів комплексної програми щодо забезпечення казначейського обслуговування </w:t>
      </w:r>
    </w:p>
    <w:p w:rsidR="00893B7C" w:rsidRPr="005C71C6" w:rsidRDefault="00893B7C" w:rsidP="00893B7C">
      <w:pPr>
        <w:ind w:right="-1"/>
        <w:jc w:val="center"/>
      </w:pPr>
      <w:r w:rsidRPr="005C71C6">
        <w:rPr>
          <w:sz w:val="28"/>
          <w:szCs w:val="28"/>
        </w:rPr>
        <w:t xml:space="preserve">на території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міської територіальної громади на 2022 рік</w:t>
      </w:r>
    </w:p>
    <w:p w:rsidR="00893B7C" w:rsidRPr="005C71C6" w:rsidRDefault="00893B7C" w:rsidP="005C71C6">
      <w:pPr>
        <w:jc w:val="right"/>
        <w:rPr>
          <w:sz w:val="28"/>
          <w:szCs w:val="28"/>
        </w:rPr>
      </w:pPr>
    </w:p>
    <w:tbl>
      <w:tblPr>
        <w:tblW w:w="15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1"/>
        <w:gridCol w:w="1726"/>
        <w:gridCol w:w="1031"/>
        <w:gridCol w:w="3122"/>
        <w:gridCol w:w="1638"/>
        <w:gridCol w:w="993"/>
        <w:gridCol w:w="1218"/>
        <w:gridCol w:w="2898"/>
      </w:tblGrid>
      <w:tr w:rsidR="00893B7C" w:rsidRPr="005C71C6" w:rsidTr="00744C7B">
        <w:trPr>
          <w:trHeight w:val="23"/>
        </w:trPr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5C71C6">
            <w:pPr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Назва напряму (пріоритетні завдання)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5C71C6">
            <w:pPr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Заходи програми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5C71C6">
            <w:pPr>
              <w:ind w:left="-77" w:right="-94"/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Строк вико-</w:t>
            </w:r>
            <w:proofErr w:type="spellStart"/>
            <w:r w:rsidRPr="005C71C6">
              <w:rPr>
                <w:sz w:val="26"/>
                <w:szCs w:val="26"/>
              </w:rPr>
              <w:t>нання</w:t>
            </w:r>
            <w:proofErr w:type="spellEnd"/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5C71C6">
            <w:pPr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Виконавці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5C71C6">
            <w:pPr>
              <w:ind w:left="-85" w:right="-94"/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 xml:space="preserve">Джерела </w:t>
            </w:r>
            <w:proofErr w:type="spellStart"/>
            <w:r w:rsidRPr="005C71C6">
              <w:rPr>
                <w:sz w:val="26"/>
                <w:szCs w:val="26"/>
              </w:rPr>
              <w:t>фінансу-вання</w:t>
            </w:r>
            <w:proofErr w:type="spellEnd"/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744C7B">
            <w:pPr>
              <w:ind w:left="-95" w:right="-112"/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Орієнтовні обсяги</w:t>
            </w:r>
          </w:p>
          <w:p w:rsidR="00893B7C" w:rsidRPr="005C71C6" w:rsidRDefault="00893B7C" w:rsidP="00744C7B">
            <w:pPr>
              <w:ind w:left="-95" w:right="-112"/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фінансування, грн, у тому числі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893B7C" w:rsidP="005C71C6">
            <w:pPr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Очікувані результати</w:t>
            </w:r>
          </w:p>
        </w:tc>
      </w:tr>
      <w:tr w:rsidR="005C71C6" w:rsidRPr="005C71C6" w:rsidTr="00744C7B">
        <w:trPr>
          <w:trHeight w:val="23"/>
        </w:trPr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 w:rsidP="005C71C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 w:rsidP="005C71C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 w:rsidP="005C71C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 w:rsidP="005C71C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 w:rsidP="005C71C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 w:rsidP="005C71C6">
            <w:pPr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всього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C" w:rsidRPr="005C71C6" w:rsidRDefault="00893B7C" w:rsidP="005C71C6">
            <w:pPr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2022</w:t>
            </w:r>
          </w:p>
        </w:tc>
        <w:tc>
          <w:tcPr>
            <w:tcW w:w="2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B7C" w:rsidRPr="005C71C6" w:rsidRDefault="00893B7C" w:rsidP="005C71C6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744C7B" w:rsidRPr="005C71C6" w:rsidTr="00744C7B">
        <w:trPr>
          <w:trHeight w:val="23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B7C" w:rsidRPr="005C71C6" w:rsidRDefault="00893B7C" w:rsidP="005C71C6">
            <w:pPr>
              <w:pStyle w:val="a3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Створення сприятливих умов каз</w:t>
            </w:r>
            <w:r w:rsidR="005C71C6">
              <w:rPr>
                <w:sz w:val="26"/>
                <w:szCs w:val="26"/>
              </w:rPr>
              <w:t>начейського обслуговування у м. </w:t>
            </w:r>
            <w:proofErr w:type="spellStart"/>
            <w:r w:rsidRPr="005C71C6">
              <w:rPr>
                <w:sz w:val="26"/>
                <w:szCs w:val="26"/>
              </w:rPr>
              <w:t>Нетішині</w:t>
            </w:r>
            <w:proofErr w:type="spellEnd"/>
            <w:r w:rsidRPr="005C71C6">
              <w:rPr>
                <w:sz w:val="26"/>
                <w:szCs w:val="26"/>
              </w:rPr>
              <w:t>, складання та подання електронної звітності, удосконалення  електронного  документообігу, системи дистанційного обслуговування, контроль за цільовим направленням бюджетних коштів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B7C" w:rsidRPr="005C71C6" w:rsidRDefault="00893B7C" w:rsidP="00744C7B">
            <w:pPr>
              <w:pStyle w:val="1"/>
              <w:ind w:left="-78" w:right="-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1C6">
              <w:rPr>
                <w:rFonts w:ascii="Times New Roman" w:hAnsi="Times New Roman"/>
                <w:sz w:val="26"/>
                <w:szCs w:val="26"/>
              </w:rPr>
              <w:t>Придбання предметів, матеріалів, обладнання та інших матеріальних цінностей</w:t>
            </w:r>
          </w:p>
          <w:p w:rsidR="00893B7C" w:rsidRPr="005C71C6" w:rsidRDefault="00893B7C" w:rsidP="00744C7B">
            <w:pPr>
              <w:ind w:left="-78" w:right="-92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B7C" w:rsidRPr="005C71C6" w:rsidRDefault="00893B7C" w:rsidP="005C71C6">
            <w:pPr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2022</w:t>
            </w:r>
          </w:p>
          <w:p w:rsidR="00893B7C" w:rsidRPr="005C71C6" w:rsidRDefault="00893B7C" w:rsidP="005C71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5C71C6">
            <w:pPr>
              <w:ind w:left="-122" w:right="-89"/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 xml:space="preserve">Виконавчий комітет </w:t>
            </w:r>
            <w:proofErr w:type="spellStart"/>
            <w:r w:rsidRPr="005C71C6">
              <w:rPr>
                <w:sz w:val="26"/>
                <w:szCs w:val="26"/>
              </w:rPr>
              <w:t>Нетішинської</w:t>
            </w:r>
            <w:proofErr w:type="spellEnd"/>
            <w:r w:rsidRPr="005C71C6">
              <w:rPr>
                <w:sz w:val="26"/>
                <w:szCs w:val="26"/>
              </w:rPr>
              <w:t xml:space="preserve"> міської ради, Управління державної казначейської служби України у м. </w:t>
            </w:r>
            <w:proofErr w:type="spellStart"/>
            <w:r w:rsidRPr="005C71C6">
              <w:rPr>
                <w:sz w:val="26"/>
                <w:szCs w:val="26"/>
              </w:rPr>
              <w:t>Нетішині</w:t>
            </w:r>
            <w:proofErr w:type="spellEnd"/>
            <w:r w:rsidRPr="005C71C6">
              <w:rPr>
                <w:sz w:val="26"/>
                <w:szCs w:val="26"/>
              </w:rPr>
              <w:t xml:space="preserve">  Хмельницької області, фінансове управління виконавчого комітету </w:t>
            </w:r>
            <w:proofErr w:type="spellStart"/>
            <w:r w:rsidRPr="005C71C6">
              <w:rPr>
                <w:sz w:val="26"/>
                <w:szCs w:val="26"/>
              </w:rPr>
              <w:t>Нетішинської</w:t>
            </w:r>
            <w:proofErr w:type="spellEnd"/>
            <w:r w:rsidRPr="005C71C6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5C71C6">
            <w:pPr>
              <w:ind w:left="-113" w:right="-80"/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 xml:space="preserve">Бюджет </w:t>
            </w:r>
            <w:proofErr w:type="spellStart"/>
            <w:r w:rsidRPr="005C71C6">
              <w:rPr>
                <w:sz w:val="26"/>
                <w:szCs w:val="26"/>
              </w:rPr>
              <w:t>Нетішинської</w:t>
            </w:r>
            <w:proofErr w:type="spellEnd"/>
            <w:r w:rsidRPr="005C71C6">
              <w:rPr>
                <w:sz w:val="26"/>
                <w:szCs w:val="26"/>
              </w:rPr>
              <w:t xml:space="preserve"> міської </w:t>
            </w:r>
            <w:proofErr w:type="spellStart"/>
            <w:r w:rsidRPr="005C71C6">
              <w:rPr>
                <w:sz w:val="26"/>
                <w:szCs w:val="26"/>
              </w:rPr>
              <w:t>територіаль</w:t>
            </w:r>
            <w:r w:rsidR="005C71C6">
              <w:rPr>
                <w:sz w:val="26"/>
                <w:szCs w:val="26"/>
              </w:rPr>
              <w:t>-</w:t>
            </w:r>
            <w:r w:rsidRPr="005C71C6">
              <w:rPr>
                <w:sz w:val="26"/>
                <w:szCs w:val="26"/>
              </w:rPr>
              <w:t>ної</w:t>
            </w:r>
            <w:proofErr w:type="spellEnd"/>
            <w:r w:rsidRPr="005C71C6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5C71C6">
            <w:pPr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57000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B7C" w:rsidRPr="005C71C6" w:rsidRDefault="00893B7C" w:rsidP="005C71C6">
            <w:pPr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>57000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7C" w:rsidRPr="005C71C6" w:rsidRDefault="00893B7C" w:rsidP="00744C7B">
            <w:pPr>
              <w:ind w:left="-108" w:right="-94"/>
              <w:jc w:val="center"/>
              <w:rPr>
                <w:sz w:val="26"/>
                <w:szCs w:val="26"/>
              </w:rPr>
            </w:pPr>
            <w:r w:rsidRPr="005C71C6">
              <w:rPr>
                <w:sz w:val="26"/>
                <w:szCs w:val="26"/>
              </w:rPr>
              <w:t xml:space="preserve">Створення сприятливих умов для розпорядників,  одержувачів бюджетних коштів та підприємств та  якісного виконання завдань, покладених на </w:t>
            </w:r>
            <w:r w:rsidRPr="00744C7B">
              <w:rPr>
                <w:spacing w:val="-2"/>
                <w:sz w:val="26"/>
                <w:szCs w:val="26"/>
              </w:rPr>
              <w:t>працівників казначейської</w:t>
            </w:r>
            <w:r w:rsidRPr="005C71C6">
              <w:rPr>
                <w:sz w:val="26"/>
                <w:szCs w:val="26"/>
              </w:rPr>
              <w:t xml:space="preserve"> служби, удосконалення роботи комп’ютерної техніки шляхом її модернізації, підвищення рівня контролю, складання та подання електронної звітності</w:t>
            </w:r>
          </w:p>
        </w:tc>
      </w:tr>
    </w:tbl>
    <w:p w:rsidR="00893B7C" w:rsidRPr="005C71C6" w:rsidRDefault="00893B7C" w:rsidP="00893B7C">
      <w:pPr>
        <w:pStyle w:val="1"/>
        <w:ind w:left="9498"/>
        <w:jc w:val="both"/>
        <w:rPr>
          <w:rFonts w:ascii="Times New Roman" w:hAnsi="Times New Roman"/>
          <w:sz w:val="16"/>
          <w:szCs w:val="16"/>
        </w:rPr>
      </w:pPr>
    </w:p>
    <w:p w:rsidR="00893B7C" w:rsidRPr="005C71C6" w:rsidRDefault="00744C7B" w:rsidP="00893B7C">
      <w:r>
        <w:rPr>
          <w:sz w:val="28"/>
          <w:szCs w:val="28"/>
        </w:rPr>
        <w:t>Керуючий справами</w:t>
      </w:r>
    </w:p>
    <w:p w:rsidR="00893B7C" w:rsidRPr="005C71C6" w:rsidRDefault="00893B7C" w:rsidP="00893B7C">
      <w:r w:rsidRPr="005C71C6">
        <w:rPr>
          <w:sz w:val="28"/>
          <w:szCs w:val="28"/>
        </w:rPr>
        <w:t>виконавчого комітету міської ради</w:t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</w:r>
      <w:r w:rsidRPr="005C71C6">
        <w:rPr>
          <w:sz w:val="28"/>
          <w:szCs w:val="28"/>
        </w:rPr>
        <w:tab/>
        <w:t>Любов ОЦАБРИКА</w:t>
      </w:r>
    </w:p>
    <w:p w:rsidR="00893B7C" w:rsidRPr="005C71C6" w:rsidRDefault="00893B7C" w:rsidP="00893B7C">
      <w:pPr>
        <w:suppressAutoHyphens w:val="0"/>
        <w:sectPr w:rsidR="00893B7C" w:rsidRPr="005C71C6" w:rsidSect="005C71C6">
          <w:pgSz w:w="16838" w:h="11906" w:orient="landscape" w:code="9"/>
          <w:pgMar w:top="1134" w:right="567" w:bottom="567" w:left="567" w:header="709" w:footer="709" w:gutter="0"/>
          <w:cols w:space="720"/>
        </w:sectPr>
      </w:pPr>
    </w:p>
    <w:p w:rsidR="00893B7C" w:rsidRPr="005C71C6" w:rsidRDefault="00893B7C" w:rsidP="00893B7C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893B7C" w:rsidRPr="005C71C6" w:rsidRDefault="00893B7C" w:rsidP="00893B7C">
      <w:pPr>
        <w:widowControl w:val="0"/>
        <w:autoSpaceDE w:val="0"/>
        <w:ind w:firstLine="567"/>
        <w:jc w:val="center"/>
      </w:pPr>
      <w:r w:rsidRPr="005C71C6">
        <w:rPr>
          <w:b/>
          <w:sz w:val="28"/>
          <w:szCs w:val="28"/>
        </w:rPr>
        <w:t xml:space="preserve">ПОЯСНЮВАЛЬНА ЗАПИСКА </w:t>
      </w:r>
    </w:p>
    <w:p w:rsidR="00893B7C" w:rsidRPr="005C71C6" w:rsidRDefault="00893B7C" w:rsidP="00893B7C">
      <w:pPr>
        <w:widowControl w:val="0"/>
        <w:autoSpaceDE w:val="0"/>
        <w:ind w:firstLine="567"/>
        <w:jc w:val="center"/>
      </w:pPr>
      <w:r w:rsidRPr="005C71C6">
        <w:rPr>
          <w:b/>
          <w:sz w:val="28"/>
          <w:szCs w:val="28"/>
        </w:rPr>
        <w:t xml:space="preserve">Про внесення змін до рішення дев’ятнадцятої сесії </w:t>
      </w:r>
    </w:p>
    <w:p w:rsidR="00744C7B" w:rsidRDefault="00893B7C" w:rsidP="00893B7C">
      <w:pPr>
        <w:widowControl w:val="0"/>
        <w:autoSpaceDE w:val="0"/>
        <w:ind w:firstLine="567"/>
        <w:jc w:val="center"/>
        <w:rPr>
          <w:b/>
          <w:bCs/>
          <w:sz w:val="28"/>
          <w:szCs w:val="28"/>
        </w:rPr>
      </w:pPr>
      <w:proofErr w:type="spellStart"/>
      <w:r w:rsidRPr="005C71C6">
        <w:rPr>
          <w:b/>
          <w:sz w:val="28"/>
          <w:szCs w:val="28"/>
        </w:rPr>
        <w:t>Нетішинської</w:t>
      </w:r>
      <w:proofErr w:type="spellEnd"/>
      <w:r w:rsidRPr="005C71C6">
        <w:rPr>
          <w:b/>
          <w:sz w:val="28"/>
          <w:szCs w:val="28"/>
        </w:rPr>
        <w:t xml:space="preserve"> міської ради VIII скликання </w:t>
      </w:r>
      <w:r w:rsidRPr="005C71C6">
        <w:rPr>
          <w:b/>
          <w:bCs/>
          <w:sz w:val="28"/>
          <w:szCs w:val="28"/>
        </w:rPr>
        <w:t xml:space="preserve">від </w:t>
      </w:r>
      <w:r w:rsidR="00744C7B">
        <w:rPr>
          <w:b/>
          <w:bCs/>
          <w:sz w:val="28"/>
          <w:szCs w:val="28"/>
        </w:rPr>
        <w:t>0</w:t>
      </w:r>
      <w:r w:rsidRPr="005C71C6">
        <w:rPr>
          <w:b/>
          <w:bCs/>
          <w:sz w:val="28"/>
          <w:szCs w:val="28"/>
        </w:rPr>
        <w:t xml:space="preserve">1 лютого 2022 року </w:t>
      </w:r>
      <w:r w:rsidR="00744C7B">
        <w:rPr>
          <w:b/>
          <w:bCs/>
          <w:sz w:val="28"/>
          <w:szCs w:val="28"/>
        </w:rPr>
        <w:t xml:space="preserve"> </w:t>
      </w:r>
    </w:p>
    <w:p w:rsidR="00893B7C" w:rsidRPr="005C71C6" w:rsidRDefault="00893B7C" w:rsidP="00893B7C">
      <w:pPr>
        <w:widowControl w:val="0"/>
        <w:autoSpaceDE w:val="0"/>
        <w:ind w:firstLine="567"/>
        <w:jc w:val="center"/>
      </w:pPr>
      <w:r w:rsidRPr="005C71C6">
        <w:rPr>
          <w:b/>
          <w:bCs/>
          <w:sz w:val="28"/>
          <w:szCs w:val="28"/>
        </w:rPr>
        <w:t xml:space="preserve">№ 19/1306 </w:t>
      </w:r>
      <w:r w:rsidRPr="005C71C6">
        <w:rPr>
          <w:b/>
          <w:sz w:val="28"/>
          <w:szCs w:val="28"/>
        </w:rPr>
        <w:t xml:space="preserve">«Про комплексну програму щодо забезпечення казначейського обслуговування на території </w:t>
      </w:r>
      <w:proofErr w:type="spellStart"/>
      <w:r w:rsidRPr="005C71C6">
        <w:rPr>
          <w:b/>
          <w:sz w:val="28"/>
          <w:szCs w:val="28"/>
        </w:rPr>
        <w:t>Нетішинської</w:t>
      </w:r>
      <w:proofErr w:type="spellEnd"/>
      <w:r w:rsidRPr="005C71C6">
        <w:rPr>
          <w:b/>
          <w:sz w:val="28"/>
          <w:szCs w:val="28"/>
        </w:rPr>
        <w:t xml:space="preserve"> міської територіальної громади на 2022 рік»»</w:t>
      </w:r>
    </w:p>
    <w:p w:rsidR="00893B7C" w:rsidRPr="005C71C6" w:rsidRDefault="00893B7C" w:rsidP="00893B7C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893B7C" w:rsidRPr="005C71C6" w:rsidRDefault="00744C7B" w:rsidP="00893B7C">
      <w:pPr>
        <w:ind w:firstLine="567"/>
        <w:jc w:val="both"/>
      </w:pPr>
      <w:r>
        <w:rPr>
          <w:sz w:val="28"/>
          <w:szCs w:val="28"/>
        </w:rPr>
        <w:t xml:space="preserve">До комплексної програми щодо </w:t>
      </w:r>
      <w:r w:rsidR="00893B7C" w:rsidRPr="005C71C6">
        <w:rPr>
          <w:sz w:val="28"/>
          <w:szCs w:val="28"/>
        </w:rPr>
        <w:t xml:space="preserve">забезпечення казначейського обслуговування на території </w:t>
      </w:r>
      <w:proofErr w:type="spellStart"/>
      <w:r w:rsidR="00893B7C" w:rsidRPr="005C71C6">
        <w:rPr>
          <w:sz w:val="28"/>
          <w:szCs w:val="28"/>
        </w:rPr>
        <w:t>Нетішинської</w:t>
      </w:r>
      <w:proofErr w:type="spellEnd"/>
      <w:r w:rsidR="00893B7C" w:rsidRPr="005C71C6">
        <w:rPr>
          <w:sz w:val="28"/>
          <w:szCs w:val="28"/>
        </w:rPr>
        <w:t xml:space="preserve"> міської територіальної громади на 2022 рік» зареєстрованого у виконавчому комітеті </w:t>
      </w:r>
      <w:proofErr w:type="spellStart"/>
      <w:r w:rsidR="00893B7C" w:rsidRPr="005C71C6">
        <w:rPr>
          <w:sz w:val="28"/>
          <w:szCs w:val="28"/>
        </w:rPr>
        <w:t>Нетішинської</w:t>
      </w:r>
      <w:proofErr w:type="spellEnd"/>
      <w:r w:rsidR="00893B7C" w:rsidRPr="005C71C6">
        <w:rPr>
          <w:sz w:val="28"/>
          <w:szCs w:val="28"/>
        </w:rPr>
        <w:t xml:space="preserve"> міської ради, вносяться такі зміни:</w:t>
      </w:r>
    </w:p>
    <w:p w:rsidR="00893B7C" w:rsidRPr="005C71C6" w:rsidRDefault="00893B7C" w:rsidP="00893B7C">
      <w:pPr>
        <w:ind w:firstLine="567"/>
        <w:jc w:val="both"/>
        <w:rPr>
          <w:sz w:val="28"/>
          <w:szCs w:val="28"/>
        </w:rPr>
      </w:pPr>
    </w:p>
    <w:p w:rsidR="00893B7C" w:rsidRPr="005C71C6" w:rsidRDefault="00893B7C" w:rsidP="00893B7C">
      <w:pPr>
        <w:ind w:firstLine="567"/>
        <w:jc w:val="both"/>
      </w:pPr>
      <w:r w:rsidRPr="005C71C6">
        <w:rPr>
          <w:sz w:val="28"/>
          <w:szCs w:val="28"/>
        </w:rPr>
        <w:t xml:space="preserve">Додаток до Програми «Перелік напрямків завдань забезпечення казначейського обслуговування на території </w:t>
      </w:r>
      <w:proofErr w:type="spellStart"/>
      <w:r w:rsidRPr="005C71C6">
        <w:rPr>
          <w:sz w:val="28"/>
          <w:szCs w:val="28"/>
        </w:rPr>
        <w:t>Нетішинської</w:t>
      </w:r>
      <w:proofErr w:type="spellEnd"/>
      <w:r w:rsidRPr="005C71C6">
        <w:rPr>
          <w:sz w:val="28"/>
          <w:szCs w:val="28"/>
        </w:rPr>
        <w:t xml:space="preserve"> міської тери</w:t>
      </w:r>
      <w:r w:rsidR="00744C7B">
        <w:rPr>
          <w:sz w:val="28"/>
          <w:szCs w:val="28"/>
        </w:rPr>
        <w:t>торіальної громади на 2022 рік»</w:t>
      </w:r>
      <w:r w:rsidRPr="005C71C6">
        <w:rPr>
          <w:sz w:val="28"/>
          <w:szCs w:val="28"/>
        </w:rPr>
        <w:t xml:space="preserve"> збільшується на 7000 гривень для придбання мережевого кабелю для створення додаткових робочих місць в управлінні.</w:t>
      </w:r>
    </w:p>
    <w:p w:rsidR="00744C7B" w:rsidRDefault="00744C7B" w:rsidP="00744C7B">
      <w:pPr>
        <w:ind w:firstLine="567"/>
        <w:jc w:val="both"/>
        <w:rPr>
          <w:sz w:val="28"/>
          <w:szCs w:val="28"/>
        </w:rPr>
      </w:pPr>
    </w:p>
    <w:p w:rsidR="005C71C6" w:rsidRPr="005C71C6" w:rsidRDefault="00893B7C" w:rsidP="00744C7B">
      <w:pPr>
        <w:ind w:firstLine="567"/>
        <w:jc w:val="both"/>
      </w:pPr>
      <w:r w:rsidRPr="005C71C6">
        <w:rPr>
          <w:sz w:val="28"/>
          <w:szCs w:val="28"/>
        </w:rPr>
        <w:t>Таким чином, планований обсяг фінансування Програми на 2022 рік складе 57,0 тис. гривень.</w:t>
      </w:r>
    </w:p>
    <w:sectPr w:rsidR="005C71C6" w:rsidRPr="005C71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AA"/>
    <w:rsid w:val="003C6B92"/>
    <w:rsid w:val="005C71C6"/>
    <w:rsid w:val="0062572B"/>
    <w:rsid w:val="00647E71"/>
    <w:rsid w:val="00744C7B"/>
    <w:rsid w:val="00881ABB"/>
    <w:rsid w:val="00893B7C"/>
    <w:rsid w:val="00D7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F2F38"/>
  <w15:chartTrackingRefBased/>
  <w15:docId w15:val="{6FF0A11B-4A5A-4AB0-900F-21CEACE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7C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93B7C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893B7C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Без интервала1"/>
    <w:rsid w:val="00893B7C"/>
    <w:pPr>
      <w:suppressAutoHyphens/>
      <w:ind w:firstLine="0"/>
      <w:jc w:val="left"/>
    </w:pPr>
    <w:rPr>
      <w:rFonts w:ascii="Calibri" w:eastAsia="Calibri" w:hAnsi="Calibri" w:cs="Times New Roman"/>
      <w:lang w:val="uk-UA" w:eastAsia="zh-CN"/>
    </w:rPr>
  </w:style>
  <w:style w:type="paragraph" w:customStyle="1" w:styleId="10">
    <w:name w:val="Обычный (веб)1"/>
    <w:basedOn w:val="a"/>
    <w:rsid w:val="00893B7C"/>
    <w:pPr>
      <w:spacing w:before="280" w:after="280"/>
    </w:pPr>
    <w:rPr>
      <w:lang w:val="ru-RU"/>
    </w:rPr>
  </w:style>
  <w:style w:type="paragraph" w:styleId="a5">
    <w:name w:val="caption"/>
    <w:basedOn w:val="a"/>
    <w:qFormat/>
    <w:rsid w:val="00893B7C"/>
    <w:pPr>
      <w:suppressAutoHyphens w:val="0"/>
      <w:ind w:firstLine="720"/>
      <w:jc w:val="center"/>
    </w:pPr>
    <w:rPr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3B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3B7C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2022-08-22T05:52:00Z</cp:lastPrinted>
  <dcterms:created xsi:type="dcterms:W3CDTF">2022-08-22T05:29:00Z</dcterms:created>
  <dcterms:modified xsi:type="dcterms:W3CDTF">2022-08-22T08:40:00Z</dcterms:modified>
</cp:coreProperties>
</file>