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DE5" w:rsidRPr="003F4126" w:rsidRDefault="000C5DE5" w:rsidP="00022F51">
      <w:pPr>
        <w:spacing w:after="0" w:line="240" w:lineRule="auto"/>
        <w:ind w:firstLine="900"/>
        <w:jc w:val="center"/>
        <w:rPr>
          <w:rFonts w:ascii="Times New Roman" w:hAnsi="Times New Roman"/>
          <w:b/>
          <w:sz w:val="28"/>
          <w:szCs w:val="28"/>
          <w:lang w:val="uk-UA"/>
        </w:rPr>
      </w:pPr>
      <w:r w:rsidRPr="003F4126">
        <w:rPr>
          <w:rFonts w:ascii="Times New Roman" w:hAnsi="Times New Roman"/>
          <w:b/>
          <w:sz w:val="28"/>
          <w:szCs w:val="28"/>
          <w:lang w:val="uk-UA"/>
        </w:rPr>
        <w:t>Пояснювальна записка</w:t>
      </w:r>
    </w:p>
    <w:p w:rsidR="000C5DE5" w:rsidRPr="003F4126" w:rsidRDefault="000C5DE5" w:rsidP="00022F51">
      <w:pPr>
        <w:spacing w:after="0" w:line="240" w:lineRule="auto"/>
        <w:ind w:firstLine="900"/>
        <w:jc w:val="center"/>
        <w:rPr>
          <w:rFonts w:ascii="Times New Roman" w:hAnsi="Times New Roman"/>
          <w:b/>
          <w:sz w:val="28"/>
          <w:szCs w:val="28"/>
          <w:lang w:val="uk-UA"/>
        </w:rPr>
      </w:pPr>
      <w:r w:rsidRPr="003F4126">
        <w:rPr>
          <w:rFonts w:ascii="Times New Roman" w:hAnsi="Times New Roman"/>
          <w:b/>
          <w:sz w:val="28"/>
          <w:szCs w:val="28"/>
          <w:lang w:val="uk-UA"/>
        </w:rPr>
        <w:t xml:space="preserve"> до фінансового плану КП НМР «Комфорт» на 2022 рік</w:t>
      </w:r>
    </w:p>
    <w:p w:rsidR="000C5DE5" w:rsidRPr="003F4126" w:rsidRDefault="000C5DE5" w:rsidP="00022F51">
      <w:pPr>
        <w:spacing w:after="0" w:line="240" w:lineRule="auto"/>
        <w:ind w:firstLine="900"/>
        <w:jc w:val="center"/>
        <w:rPr>
          <w:rFonts w:ascii="Times New Roman" w:hAnsi="Times New Roman"/>
          <w:b/>
          <w:sz w:val="28"/>
          <w:szCs w:val="28"/>
          <w:lang w:val="uk-UA"/>
        </w:rPr>
      </w:pPr>
    </w:p>
    <w:p w:rsidR="000C5DE5" w:rsidRPr="00DF3634" w:rsidRDefault="000C5DE5"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 xml:space="preserve"> Діяльність КП НМР «Комфорт» здійснює на підставі Статуту, що затверджений рішенням шостої сесії Нетішинської міської ради VIIІ скликання 05.02.2021р. №6/248. Підприємство засноване на комунальній формі власності територіальної громади міста Нетішин і входить до сфери управління Нетішинської міської ради.</w:t>
      </w:r>
    </w:p>
    <w:p w:rsidR="000C5DE5" w:rsidRPr="003F4126" w:rsidRDefault="000C5DE5" w:rsidP="00022F51">
      <w:pPr>
        <w:spacing w:after="0" w:line="240" w:lineRule="auto"/>
        <w:ind w:firstLine="900"/>
        <w:jc w:val="both"/>
        <w:rPr>
          <w:rFonts w:ascii="Times New Roman" w:hAnsi="Times New Roman"/>
          <w:sz w:val="28"/>
          <w:szCs w:val="28"/>
          <w:lang w:val="uk-UA"/>
        </w:rPr>
      </w:pPr>
      <w:r w:rsidRPr="003F4126">
        <w:rPr>
          <w:rFonts w:ascii="Times New Roman" w:hAnsi="Times New Roman"/>
          <w:sz w:val="28"/>
          <w:szCs w:val="28"/>
          <w:lang w:val="uk-UA"/>
        </w:rPr>
        <w:t>Види економічної діяльності згідно КВЕД: 93.29 Організування інших видів відпочинку та розваг.</w:t>
      </w:r>
    </w:p>
    <w:p w:rsidR="000C5DE5" w:rsidRPr="003F4126" w:rsidRDefault="000C5DE5" w:rsidP="00022F51">
      <w:pPr>
        <w:spacing w:after="0" w:line="240" w:lineRule="auto"/>
        <w:ind w:firstLine="900"/>
        <w:jc w:val="both"/>
        <w:rPr>
          <w:rFonts w:ascii="Times New Roman" w:hAnsi="Times New Roman"/>
          <w:sz w:val="28"/>
          <w:szCs w:val="28"/>
          <w:lang w:val="uk-UA"/>
        </w:rPr>
      </w:pPr>
      <w:r w:rsidRPr="003F4126">
        <w:rPr>
          <w:rFonts w:ascii="Times New Roman" w:hAnsi="Times New Roman"/>
          <w:sz w:val="28"/>
          <w:szCs w:val="28"/>
          <w:lang w:val="uk-UA"/>
        </w:rPr>
        <w:t xml:space="preserve"> Наданий на затвердження проект фінансового плану КП НМР «Комфорт» сформовано на базі прогнозних розрахунків 2021р., фактичних даних 2020р, та  очікуваних показників за 2022р., нормативних документів, діючих та прогнозних розцінок на виконання робіт(послуг), матеріалів, енергоносіїв, рівня інфляції, тощо).</w:t>
      </w:r>
    </w:p>
    <w:p w:rsidR="000C5DE5" w:rsidRPr="00DF3634" w:rsidRDefault="000C5DE5" w:rsidP="00733776">
      <w:pPr>
        <w:spacing w:after="0" w:line="240" w:lineRule="auto"/>
        <w:ind w:firstLine="495"/>
        <w:jc w:val="both"/>
        <w:rPr>
          <w:rFonts w:ascii="Times New Roman" w:hAnsi="Times New Roman"/>
          <w:sz w:val="28"/>
          <w:szCs w:val="28"/>
          <w:lang w:val="uk-UA"/>
        </w:rPr>
      </w:pPr>
      <w:r w:rsidRPr="003F4126">
        <w:rPr>
          <w:rFonts w:ascii="Times New Roman" w:hAnsi="Times New Roman"/>
          <w:sz w:val="28"/>
          <w:szCs w:val="28"/>
          <w:lang w:val="uk-UA"/>
        </w:rPr>
        <w:t xml:space="preserve">В проекті фінансового плану витримані вимоги щодо випереджальних </w:t>
      </w:r>
      <w:r w:rsidRPr="00DF3634">
        <w:rPr>
          <w:rFonts w:ascii="Times New Roman" w:hAnsi="Times New Roman"/>
          <w:sz w:val="28"/>
          <w:szCs w:val="28"/>
          <w:lang w:val="uk-UA"/>
        </w:rPr>
        <w:t>темпів зростання доходів у порівнянні із зростанням витрат та фонду оплати праці. У фінансовому плані на 2022р. заплановано отримання іншого операційного доходу рядок 1070 (основної таблиці) на суму 11527,0 тис. грн. в т. ч.</w:t>
      </w:r>
    </w:p>
    <w:p w:rsidR="000C5DE5" w:rsidRPr="00DF3634" w:rsidRDefault="000C5DE5" w:rsidP="00733776">
      <w:pPr>
        <w:numPr>
          <w:ilvl w:val="0"/>
          <w:numId w:val="8"/>
        </w:numPr>
        <w:spacing w:after="0" w:line="240" w:lineRule="auto"/>
        <w:jc w:val="both"/>
        <w:rPr>
          <w:rFonts w:ascii="Times New Roman" w:hAnsi="Times New Roman"/>
          <w:sz w:val="28"/>
          <w:szCs w:val="28"/>
          <w:lang w:val="uk-UA"/>
        </w:rPr>
      </w:pPr>
      <w:r w:rsidRPr="00DF3634">
        <w:rPr>
          <w:rFonts w:ascii="Times New Roman" w:hAnsi="Times New Roman"/>
          <w:sz w:val="28"/>
          <w:szCs w:val="28"/>
          <w:lang w:val="uk-UA"/>
        </w:rPr>
        <w:t>Дохід від земельного сервітуту на загальну суму 26,0 тис. грн.</w:t>
      </w:r>
    </w:p>
    <w:p w:rsidR="000C5DE5" w:rsidRPr="00DF3634" w:rsidRDefault="000C5DE5" w:rsidP="00733776">
      <w:pPr>
        <w:numPr>
          <w:ilvl w:val="0"/>
          <w:numId w:val="8"/>
        </w:numPr>
        <w:spacing w:after="0" w:line="240" w:lineRule="auto"/>
        <w:jc w:val="both"/>
        <w:rPr>
          <w:rFonts w:ascii="Times New Roman" w:hAnsi="Times New Roman"/>
          <w:sz w:val="28"/>
          <w:szCs w:val="28"/>
          <w:lang w:val="uk-UA"/>
        </w:rPr>
      </w:pPr>
      <w:bookmarkStart w:id="0" w:name="_GoBack"/>
      <w:r w:rsidRPr="00DF3634">
        <w:rPr>
          <w:rFonts w:ascii="Times New Roman" w:hAnsi="Times New Roman"/>
          <w:sz w:val="28"/>
          <w:szCs w:val="28"/>
          <w:lang w:val="uk-UA"/>
        </w:rPr>
        <w:t>(</w:t>
      </w:r>
      <w:r w:rsidRPr="00DF3634">
        <w:rPr>
          <w:rFonts w:ascii="Times New Roman" w:hAnsi="Times New Roman"/>
          <w:sz w:val="28"/>
          <w:szCs w:val="28"/>
          <w:lang w:val="uk-UA" w:eastAsia="ru-RU"/>
        </w:rPr>
        <w:t>Фінансування з місцевого бюджету по Програмі благоустрою Нетішинської ОТГ на 2020-2022р.</w:t>
      </w:r>
      <w:r w:rsidRPr="00DF3634">
        <w:rPr>
          <w:rFonts w:ascii="Times New Roman" w:hAnsi="Times New Roman"/>
          <w:sz w:val="28"/>
          <w:szCs w:val="28"/>
          <w:lang w:val="uk-UA"/>
        </w:rPr>
        <w:t>) 11364,0 тис.грн.</w:t>
      </w:r>
    </w:p>
    <w:bookmarkEnd w:id="0"/>
    <w:p w:rsidR="000C5DE5" w:rsidRPr="00DF3634" w:rsidRDefault="000C5DE5" w:rsidP="00567827">
      <w:pPr>
        <w:numPr>
          <w:ilvl w:val="0"/>
          <w:numId w:val="8"/>
        </w:numPr>
        <w:spacing w:after="0" w:line="240" w:lineRule="auto"/>
        <w:jc w:val="both"/>
        <w:rPr>
          <w:rFonts w:ascii="Times New Roman" w:hAnsi="Times New Roman"/>
          <w:sz w:val="28"/>
          <w:szCs w:val="28"/>
          <w:lang w:val="uk-UA"/>
        </w:rPr>
      </w:pPr>
      <w:r w:rsidRPr="00DF3634">
        <w:rPr>
          <w:rFonts w:ascii="Times New Roman" w:hAnsi="Times New Roman"/>
          <w:sz w:val="28"/>
          <w:szCs w:val="28"/>
          <w:lang w:val="uk-UA"/>
        </w:rPr>
        <w:t xml:space="preserve">137,0 тис. грн. визнаний дохід від цільового фінансування капітальних інвестицій, пропорційно сумі нарахованої амортизації п.18 П(С)БО 15 «Дохід» в 2022р. </w:t>
      </w:r>
    </w:p>
    <w:p w:rsidR="000C5DE5" w:rsidRPr="00DF3634" w:rsidRDefault="000C5DE5" w:rsidP="00567827">
      <w:pPr>
        <w:numPr>
          <w:ilvl w:val="0"/>
          <w:numId w:val="8"/>
        </w:numPr>
        <w:spacing w:after="0" w:line="240" w:lineRule="auto"/>
        <w:jc w:val="both"/>
        <w:rPr>
          <w:rFonts w:ascii="Times New Roman" w:hAnsi="Times New Roman"/>
          <w:sz w:val="28"/>
          <w:szCs w:val="28"/>
          <w:lang w:val="uk-UA"/>
        </w:rPr>
      </w:pPr>
      <w:r w:rsidRPr="00DF3634">
        <w:rPr>
          <w:rFonts w:ascii="Times New Roman" w:hAnsi="Times New Roman"/>
          <w:sz w:val="28"/>
          <w:szCs w:val="28"/>
          <w:lang w:val="uk-UA"/>
        </w:rPr>
        <w:t>Згідно із п.17 П(С)бо 15  «Дохід» отримане цільове фінансування визнається доходом протягом тих періодів, в яких були зазнані витрати пов’язані з виконанням умов цільового фінансування. Згідно із п.18 П(С)бо 15  «Дохід» Цільове фінансування капітальних інвестицій визнається доходом протягом періоду корисного використання відповідних об'єктів інвестування (основних засобів, нематеріальних активів тощо) пропорційно сумі нарахованої амортизації цих об'єктів. Капітальні інвестиції на 2022 р. КП НМР «Комфорт» складають 783,0 тис. грн:</w:t>
      </w:r>
    </w:p>
    <w:p w:rsidR="000C5DE5" w:rsidRPr="00DF3634" w:rsidRDefault="000C5DE5"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В тому числі:</w:t>
      </w:r>
    </w:p>
    <w:p w:rsidR="000C5DE5" w:rsidRPr="00DF3634" w:rsidRDefault="000C5DE5" w:rsidP="00022F51">
      <w:pPr>
        <w:pStyle w:val="ListParagraph"/>
        <w:numPr>
          <w:ilvl w:val="0"/>
          <w:numId w:val="1"/>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Придбання (виготовлення) основних засобів 673,0 тис. грн;</w:t>
      </w:r>
    </w:p>
    <w:p w:rsidR="000C5DE5" w:rsidRPr="00DF3634" w:rsidRDefault="000C5DE5" w:rsidP="00022F51">
      <w:pPr>
        <w:pStyle w:val="ListParagraph"/>
        <w:numPr>
          <w:ilvl w:val="0"/>
          <w:numId w:val="1"/>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Придбання(виготовлення) інших необоротних матеріальних активів 110,0 тис. грн;</w:t>
      </w:r>
    </w:p>
    <w:p w:rsidR="000C5DE5" w:rsidRPr="00DF3634" w:rsidRDefault="000C5DE5" w:rsidP="00022F51">
      <w:pPr>
        <w:pStyle w:val="ListParagraph"/>
        <w:numPr>
          <w:ilvl w:val="0"/>
          <w:numId w:val="2"/>
        </w:numPr>
        <w:spacing w:after="0" w:line="240" w:lineRule="auto"/>
        <w:ind w:left="0" w:firstLine="900"/>
        <w:jc w:val="both"/>
        <w:rPr>
          <w:rFonts w:ascii="Times New Roman" w:hAnsi="Times New Roman"/>
          <w:sz w:val="28"/>
          <w:szCs w:val="28"/>
          <w:lang w:val="uk-UA"/>
        </w:rPr>
      </w:pPr>
      <w:r w:rsidRPr="00DF3634">
        <w:rPr>
          <w:rFonts w:ascii="Times New Roman" w:hAnsi="Times New Roman"/>
          <w:i/>
          <w:sz w:val="28"/>
          <w:szCs w:val="28"/>
          <w:u w:val="single"/>
          <w:lang w:val="uk-UA"/>
        </w:rPr>
        <w:t>Придбання (виготовлення) основних засобів</w:t>
      </w:r>
      <w:r w:rsidRPr="00DF3634">
        <w:rPr>
          <w:rFonts w:ascii="Times New Roman" w:hAnsi="Times New Roman"/>
          <w:sz w:val="28"/>
          <w:szCs w:val="28"/>
          <w:lang w:val="uk-UA"/>
        </w:rPr>
        <w:t xml:space="preserve"> :</w:t>
      </w:r>
    </w:p>
    <w:p w:rsidR="000C5DE5" w:rsidRPr="00DF3634" w:rsidRDefault="000C5DE5"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Нарахування амортизації проводиться прямолінійним методом. Термін корисного використання основних засобів становить 5 років. Ліквідаційна вартість дорівнює нулю.</w:t>
      </w:r>
    </w:p>
    <w:p w:rsidR="000C5DE5" w:rsidRPr="00DF3634" w:rsidRDefault="000C5DE5"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Розрахунок річної суми амортизації на 2021 рік.:</w:t>
      </w:r>
    </w:p>
    <w:p w:rsidR="000C5DE5" w:rsidRPr="00DF3634" w:rsidRDefault="000C5DE5" w:rsidP="00022F51">
      <w:pPr>
        <w:spacing w:after="0" w:line="240" w:lineRule="auto"/>
        <w:ind w:firstLine="900"/>
        <w:jc w:val="both"/>
        <w:rPr>
          <w:rFonts w:ascii="Times New Roman" w:hAnsi="Times New Roman"/>
          <w:sz w:val="28"/>
          <w:szCs w:val="28"/>
          <w:lang w:val="uk-UA"/>
        </w:rPr>
      </w:pPr>
      <w:r w:rsidRPr="00DF3634">
        <w:rPr>
          <w:rFonts w:ascii="Times New Roman" w:hAnsi="Times New Roman"/>
          <w:b/>
          <w:i/>
          <w:sz w:val="28"/>
          <w:szCs w:val="28"/>
          <w:lang w:val="uk-UA" w:eastAsia="ru-RU"/>
        </w:rPr>
        <w:t xml:space="preserve">Річна сума амортизації = вартість об’єкта, що амортизується / термін корисного використання </w:t>
      </w:r>
      <w:r w:rsidRPr="00DF3634">
        <w:rPr>
          <w:rFonts w:ascii="Times New Roman" w:hAnsi="Times New Roman"/>
          <w:sz w:val="28"/>
          <w:szCs w:val="28"/>
          <w:lang w:val="uk-UA"/>
        </w:rPr>
        <w:t>673,0 тис. грн. /5 років=137,0 тис. грн.</w:t>
      </w:r>
    </w:p>
    <w:p w:rsidR="000C5DE5" w:rsidRPr="00DF3634" w:rsidRDefault="000C5DE5"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Одночасно визнається дохід від нарахованої амортизації в сумі 137,0 тис. грн.</w:t>
      </w:r>
    </w:p>
    <w:p w:rsidR="000C5DE5" w:rsidRPr="00DF3634" w:rsidRDefault="000C5DE5" w:rsidP="00022F51">
      <w:pPr>
        <w:pStyle w:val="ListParagraph"/>
        <w:numPr>
          <w:ilvl w:val="0"/>
          <w:numId w:val="2"/>
        </w:numPr>
        <w:spacing w:after="0" w:line="240" w:lineRule="auto"/>
        <w:ind w:left="0" w:firstLine="900"/>
        <w:rPr>
          <w:rFonts w:ascii="Times New Roman" w:hAnsi="Times New Roman"/>
          <w:i/>
          <w:sz w:val="28"/>
          <w:szCs w:val="28"/>
          <w:u w:val="single"/>
          <w:lang w:val="uk-UA"/>
        </w:rPr>
      </w:pPr>
      <w:r w:rsidRPr="00DF3634">
        <w:rPr>
          <w:rFonts w:ascii="Times New Roman" w:hAnsi="Times New Roman"/>
          <w:i/>
          <w:sz w:val="28"/>
          <w:szCs w:val="28"/>
          <w:u w:val="single"/>
          <w:lang w:val="uk-UA"/>
        </w:rPr>
        <w:t>Придбання(виготовлення) інших необоротних матеріальних активів та  придбання  (створення) нематеріальних активів:</w:t>
      </w:r>
    </w:p>
    <w:p w:rsidR="000C5DE5" w:rsidRPr="00DF3634" w:rsidRDefault="000C5DE5" w:rsidP="00022F51">
      <w:pPr>
        <w:spacing w:after="0" w:line="240" w:lineRule="auto"/>
        <w:ind w:firstLine="900"/>
        <w:jc w:val="both"/>
        <w:rPr>
          <w:rFonts w:ascii="Times New Roman" w:hAnsi="Times New Roman"/>
          <w:sz w:val="28"/>
          <w:szCs w:val="28"/>
          <w:lang w:val="uk-UA"/>
        </w:rPr>
      </w:pPr>
      <w:r w:rsidRPr="00DF3634">
        <w:rPr>
          <w:rFonts w:ascii="Times New Roman" w:hAnsi="Times New Roman"/>
          <w:sz w:val="28"/>
          <w:szCs w:val="28"/>
          <w:lang w:val="uk-UA"/>
        </w:rPr>
        <w:t>Нарахування амортизації малоцінних необоротних матеріальних активів  проводиться в першому місяці використання об’єкта у розмірі 100% його вартості згідно п. 5.13. наказу про облікову політику КП НМР «Комфорт» №3 від 12.09.2017р. погодженого рішенням тридцять четвертої сесії Нетішинської міської ради V11 скликання від 27.10.2017р. №34/1850 «Про погодження наказу на облікову політику КП НМР «Комфорт»».</w:t>
      </w:r>
    </w:p>
    <w:p w:rsidR="000C5DE5" w:rsidRPr="00DF3634" w:rsidRDefault="000C5DE5" w:rsidP="00022F51">
      <w:pPr>
        <w:pStyle w:val="ListParagraph"/>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У фінансовому плані КП НМР «Комфорт» на 2022 рік витрати на оплату праці становлять 6182,00 тис. грн .В розрахунок включені: заробітна плата працівників підприємства 26 чол., заробітна плата на 8 цивільно-правових угод та заробітна плата за виконання суспільно-корисних робіт по прибиранню території благоустрою міста 7 чол.</w:t>
      </w:r>
    </w:p>
    <w:p w:rsidR="000C5DE5" w:rsidRPr="00DF3634" w:rsidRDefault="000C5DE5" w:rsidP="00535B53">
      <w:pPr>
        <w:spacing w:after="0" w:line="240" w:lineRule="auto"/>
        <w:ind w:firstLine="900"/>
        <w:jc w:val="both"/>
        <w:rPr>
          <w:rFonts w:ascii="Times New Roman" w:hAnsi="Times New Roman"/>
          <w:sz w:val="28"/>
          <w:szCs w:val="28"/>
          <w:lang w:val="uk-UA" w:eastAsia="ru-RU"/>
        </w:rPr>
      </w:pPr>
      <w:r w:rsidRPr="00DF3634">
        <w:rPr>
          <w:rFonts w:ascii="Times New Roman" w:hAnsi="Times New Roman"/>
          <w:sz w:val="28"/>
          <w:szCs w:val="28"/>
          <w:lang w:val="uk-UA"/>
        </w:rPr>
        <w:t xml:space="preserve">Фонд оплати праці складається з фондів основної та додаткової заробітної плати та інших заохочувальних і компенсаційних виплат. </w:t>
      </w:r>
      <w:r w:rsidRPr="00DF3634">
        <w:rPr>
          <w:rFonts w:ascii="Times New Roman" w:hAnsi="Times New Roman"/>
          <w:sz w:val="28"/>
          <w:szCs w:val="28"/>
          <w:lang w:val="uk-UA" w:eastAsia="ru-RU"/>
        </w:rPr>
        <w:t>Посадові оклади працівників КП НМР «Комфорт» розраховані з врахуванням збільшення мінімальної заробітної плати:</w:t>
      </w:r>
    </w:p>
    <w:p w:rsidR="000C5DE5" w:rsidRPr="00DF3634" w:rsidRDefault="000C5DE5" w:rsidP="00535B53">
      <w:pPr>
        <w:spacing w:after="0" w:line="240" w:lineRule="auto"/>
        <w:ind w:firstLine="900"/>
        <w:rPr>
          <w:rFonts w:ascii="Times New Roman" w:hAnsi="Times New Roman"/>
          <w:sz w:val="28"/>
          <w:szCs w:val="28"/>
          <w:lang w:val="uk-UA" w:eastAsia="ru-RU"/>
        </w:rPr>
      </w:pPr>
      <w:r w:rsidRPr="00DF3634">
        <w:rPr>
          <w:rFonts w:ascii="Times New Roman" w:hAnsi="Times New Roman"/>
          <w:sz w:val="28"/>
          <w:szCs w:val="28"/>
          <w:lang w:val="uk-UA" w:eastAsia="ru-RU"/>
        </w:rPr>
        <w:t xml:space="preserve">   </w:t>
      </w:r>
      <w:r w:rsidRPr="00DF3634">
        <w:rPr>
          <w:rFonts w:ascii="Times New Roman" w:hAnsi="Times New Roman"/>
          <w:sz w:val="28"/>
          <w:szCs w:val="28"/>
          <w:lang w:val="uk-UA" w:eastAsia="ru-RU"/>
        </w:rPr>
        <w:tab/>
        <w:t xml:space="preserve">   з 01.01.2022р. по 30.09.2022р. до 6500,00 грн;</w:t>
      </w:r>
    </w:p>
    <w:p w:rsidR="000C5DE5" w:rsidRPr="00DF3634" w:rsidRDefault="000C5DE5" w:rsidP="00535B53">
      <w:pPr>
        <w:spacing w:after="0" w:line="240" w:lineRule="auto"/>
        <w:ind w:left="708" w:firstLine="900"/>
        <w:rPr>
          <w:rFonts w:ascii="Times New Roman" w:hAnsi="Times New Roman"/>
          <w:sz w:val="28"/>
          <w:szCs w:val="28"/>
          <w:lang w:val="uk-UA" w:eastAsia="ru-RU"/>
        </w:rPr>
      </w:pPr>
      <w:r w:rsidRPr="00DF3634">
        <w:rPr>
          <w:rFonts w:ascii="Times New Roman" w:hAnsi="Times New Roman"/>
          <w:sz w:val="28"/>
          <w:szCs w:val="28"/>
          <w:lang w:val="uk-UA" w:eastAsia="ru-RU"/>
        </w:rPr>
        <w:t>з 01.09.2022р. по 31.12.2022р. до 6700,00 грн.</w:t>
      </w:r>
    </w:p>
    <w:p w:rsidR="000C5DE5" w:rsidRPr="00DF3634" w:rsidRDefault="000C5DE5" w:rsidP="003F4126">
      <w:pPr>
        <w:spacing w:after="0" w:line="240" w:lineRule="auto"/>
        <w:ind w:firstLine="708"/>
        <w:jc w:val="both"/>
        <w:rPr>
          <w:rFonts w:ascii="Times New Roman" w:hAnsi="Times New Roman"/>
          <w:sz w:val="28"/>
          <w:szCs w:val="28"/>
          <w:highlight w:val="yellow"/>
          <w:lang w:val="uk-UA" w:eastAsia="ru-RU"/>
        </w:rPr>
      </w:pPr>
      <w:r w:rsidRPr="00DF3634">
        <w:rPr>
          <w:rFonts w:ascii="Times New Roman" w:hAnsi="Times New Roman"/>
          <w:sz w:val="28"/>
          <w:szCs w:val="28"/>
          <w:lang w:val="uk-UA" w:eastAsia="ru-RU"/>
        </w:rPr>
        <w:t>Для тих категорій працівників в яких оклад менший ніж мінімальна заробітна плата буде проводитись доплата до мінімальної заробітної плати.</w:t>
      </w:r>
    </w:p>
    <w:p w:rsidR="000C5DE5" w:rsidRPr="00DF3634" w:rsidRDefault="000C5DE5" w:rsidP="003F4126">
      <w:pPr>
        <w:spacing w:after="0" w:line="240" w:lineRule="auto"/>
        <w:ind w:firstLine="900"/>
        <w:jc w:val="both"/>
        <w:rPr>
          <w:rFonts w:ascii="Times New Roman" w:hAnsi="Times New Roman"/>
          <w:b/>
          <w:sz w:val="28"/>
          <w:szCs w:val="28"/>
          <w:u w:val="single"/>
          <w:lang w:val="uk-UA"/>
        </w:rPr>
      </w:pPr>
      <w:r w:rsidRPr="00DF3634">
        <w:rPr>
          <w:rFonts w:ascii="Times New Roman" w:hAnsi="Times New Roman"/>
          <w:sz w:val="28"/>
          <w:szCs w:val="28"/>
          <w:lang w:val="uk-UA"/>
        </w:rPr>
        <w:t xml:space="preserve">В результаті проведених розрахунків середньомісячні витрати на оплату праці на одного працівника на 2022 рік в порівняні до планових середньомісячних витрат на оплату праці одного працівника в 2021р. </w:t>
      </w:r>
      <w:r w:rsidRPr="00DF3634">
        <w:rPr>
          <w:rFonts w:ascii="Times New Roman" w:hAnsi="Times New Roman"/>
          <w:b/>
          <w:sz w:val="28"/>
          <w:szCs w:val="28"/>
          <w:u w:val="single"/>
          <w:lang w:val="uk-UA"/>
        </w:rPr>
        <w:t>збільшились :</w:t>
      </w:r>
    </w:p>
    <w:p w:rsidR="000C5DE5" w:rsidRPr="00DF3634" w:rsidRDefault="000C5DE5" w:rsidP="00243978">
      <w:pPr>
        <w:pStyle w:val="ListParagraph"/>
        <w:numPr>
          <w:ilvl w:val="0"/>
          <w:numId w:val="4"/>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 xml:space="preserve">на одного працівника на 4923,00 грн (15329,00 грн 10406,00 грн.), </w:t>
      </w:r>
    </w:p>
    <w:p w:rsidR="000C5DE5" w:rsidRPr="00DF3634" w:rsidRDefault="000C5DE5" w:rsidP="00022F51">
      <w:pPr>
        <w:pStyle w:val="ListParagraph"/>
        <w:numPr>
          <w:ilvl w:val="0"/>
          <w:numId w:val="4"/>
        </w:numPr>
        <w:spacing w:after="0" w:line="240" w:lineRule="auto"/>
        <w:ind w:left="0" w:firstLine="900"/>
        <w:jc w:val="both"/>
        <w:rPr>
          <w:rFonts w:ascii="Times New Roman" w:hAnsi="Times New Roman"/>
          <w:sz w:val="28"/>
          <w:szCs w:val="28"/>
          <w:lang w:val="uk-UA"/>
        </w:rPr>
      </w:pPr>
      <w:r w:rsidRPr="00DF3634">
        <w:rPr>
          <w:rFonts w:ascii="Times New Roman" w:hAnsi="Times New Roman"/>
          <w:sz w:val="28"/>
          <w:szCs w:val="28"/>
          <w:lang w:val="uk-UA"/>
        </w:rPr>
        <w:t>для робітників на 4541,00 грн.</w:t>
      </w:r>
    </w:p>
    <w:p w:rsidR="000C5DE5" w:rsidRPr="00DF3634" w:rsidRDefault="000C5DE5" w:rsidP="003F4126">
      <w:pPr>
        <w:spacing w:after="0" w:line="240" w:lineRule="auto"/>
        <w:ind w:firstLine="708"/>
        <w:jc w:val="both"/>
        <w:rPr>
          <w:rFonts w:ascii="Times New Roman" w:hAnsi="Times New Roman"/>
          <w:sz w:val="28"/>
          <w:szCs w:val="28"/>
          <w:lang w:val="uk-UA"/>
        </w:rPr>
      </w:pPr>
      <w:r w:rsidRPr="00DF3634">
        <w:rPr>
          <w:rFonts w:ascii="Times New Roman" w:hAnsi="Times New Roman"/>
          <w:sz w:val="28"/>
          <w:szCs w:val="28"/>
          <w:lang w:val="uk-UA"/>
        </w:rPr>
        <w:t>Різниця між плановими витратами на оплату праці 2022р. в порівнянні з плановими витратами на оплату праці 2021р. становить 1576,0 тис. грн. Дана різниця виникла в результаті планового збільшення мінімальної заробітної плати 2022р. в порівнянні з 2021 р.</w:t>
      </w:r>
    </w:p>
    <w:p w:rsidR="000C5DE5" w:rsidRPr="00DF3634" w:rsidRDefault="000C5DE5" w:rsidP="004E57D8">
      <w:pPr>
        <w:spacing w:after="0" w:line="240" w:lineRule="auto"/>
        <w:ind w:firstLine="708"/>
        <w:rPr>
          <w:rFonts w:ascii="Times New Roman" w:hAnsi="Times New Roman"/>
          <w:sz w:val="28"/>
          <w:szCs w:val="28"/>
          <w:shd w:val="clear" w:color="auto" w:fill="FFFFFF"/>
          <w:lang w:val="uk-UA" w:eastAsia="ru-RU"/>
        </w:rPr>
      </w:pPr>
      <w:r w:rsidRPr="00DF3634">
        <w:rPr>
          <w:rFonts w:ascii="Times New Roman" w:hAnsi="Times New Roman"/>
          <w:sz w:val="28"/>
          <w:szCs w:val="28"/>
          <w:shd w:val="clear" w:color="auto" w:fill="FFFFFF"/>
          <w:lang w:val="uk-UA" w:eastAsia="ru-RU"/>
        </w:rPr>
        <w:t>з 01.01.2022 року — до 6500 грн (+500 грн або +8%);</w:t>
      </w:r>
    </w:p>
    <w:p w:rsidR="000C5DE5" w:rsidRPr="00DF3634" w:rsidRDefault="000C5DE5" w:rsidP="004E57D8">
      <w:pPr>
        <w:spacing w:after="0" w:line="240" w:lineRule="auto"/>
        <w:ind w:firstLine="708"/>
        <w:rPr>
          <w:rFonts w:ascii="Times New Roman" w:hAnsi="Times New Roman"/>
          <w:sz w:val="28"/>
          <w:szCs w:val="28"/>
          <w:lang w:val="uk-UA" w:eastAsia="ru-RU"/>
        </w:rPr>
      </w:pPr>
      <w:r w:rsidRPr="00DF3634">
        <w:rPr>
          <w:rFonts w:ascii="Times New Roman" w:hAnsi="Times New Roman"/>
          <w:sz w:val="28"/>
          <w:szCs w:val="28"/>
          <w:shd w:val="clear" w:color="auto" w:fill="FFFFFF"/>
          <w:lang w:val="uk-UA" w:eastAsia="ru-RU"/>
        </w:rPr>
        <w:t>з 01.09.2022 року — до 6700 грн (+200 грн або +3%)</w:t>
      </w:r>
    </w:p>
    <w:p w:rsidR="000C5DE5" w:rsidRPr="003F4126" w:rsidRDefault="000C5DE5" w:rsidP="003F4126">
      <w:pPr>
        <w:spacing w:after="0" w:line="240" w:lineRule="auto"/>
        <w:ind w:firstLine="708"/>
        <w:jc w:val="both"/>
        <w:rPr>
          <w:rFonts w:ascii="Times New Roman" w:hAnsi="Times New Roman"/>
          <w:sz w:val="28"/>
          <w:szCs w:val="28"/>
          <w:lang w:val="uk-UA"/>
        </w:rPr>
      </w:pPr>
      <w:r w:rsidRPr="00DF3634">
        <w:rPr>
          <w:rFonts w:ascii="Times New Roman" w:hAnsi="Times New Roman"/>
          <w:sz w:val="28"/>
          <w:szCs w:val="28"/>
          <w:lang w:val="uk-UA"/>
        </w:rPr>
        <w:t>Плановий фонд оплати праці на 2022р. розрахований з врахуванням</w:t>
      </w:r>
      <w:r w:rsidRPr="003F4126">
        <w:rPr>
          <w:rFonts w:ascii="Times New Roman" w:hAnsi="Times New Roman"/>
          <w:sz w:val="28"/>
          <w:szCs w:val="28"/>
          <w:lang w:val="uk-UA"/>
        </w:rPr>
        <w:t xml:space="preserve"> наведених вище змін в сторону збільшення.</w:t>
      </w:r>
    </w:p>
    <w:p w:rsidR="000C5DE5" w:rsidRPr="003F4126" w:rsidRDefault="000C5DE5" w:rsidP="00090F2B">
      <w:pPr>
        <w:rPr>
          <w:rFonts w:ascii="Times New Roman" w:hAnsi="Times New Roman"/>
          <w:sz w:val="28"/>
          <w:szCs w:val="28"/>
          <w:lang w:val="uk-UA"/>
        </w:rPr>
      </w:pPr>
    </w:p>
    <w:p w:rsidR="000C5DE5" w:rsidRPr="003F4126" w:rsidRDefault="000C5DE5" w:rsidP="00090F2B">
      <w:pPr>
        <w:rPr>
          <w:rFonts w:ascii="Times New Roman" w:hAnsi="Times New Roman"/>
          <w:sz w:val="28"/>
          <w:szCs w:val="28"/>
          <w:lang w:val="uk-UA"/>
        </w:rPr>
      </w:pPr>
      <w:r w:rsidRPr="003F4126">
        <w:rPr>
          <w:rFonts w:ascii="Times New Roman" w:hAnsi="Times New Roman"/>
          <w:sz w:val="28"/>
          <w:szCs w:val="28"/>
          <w:lang w:val="uk-UA"/>
        </w:rPr>
        <w:t>Директор</w:t>
      </w:r>
      <w:r>
        <w:rPr>
          <w:rFonts w:ascii="Times New Roman" w:hAnsi="Times New Roman"/>
          <w:sz w:val="28"/>
          <w:szCs w:val="28"/>
          <w:lang w:val="uk-UA"/>
        </w:rPr>
        <w:t xml:space="preserve"> КП НМР «Комфорт»</w:t>
      </w:r>
      <w:r w:rsidRPr="003F4126">
        <w:rPr>
          <w:rFonts w:ascii="Times New Roman" w:hAnsi="Times New Roman"/>
          <w:sz w:val="28"/>
          <w:szCs w:val="28"/>
          <w:lang w:val="uk-UA"/>
        </w:rPr>
        <w:tab/>
        <w:t xml:space="preserve"> </w:t>
      </w:r>
      <w:r w:rsidRPr="003F4126">
        <w:rPr>
          <w:rFonts w:ascii="Times New Roman" w:hAnsi="Times New Roman"/>
          <w:sz w:val="28"/>
          <w:szCs w:val="28"/>
          <w:lang w:val="uk-UA"/>
        </w:rPr>
        <w:tab/>
      </w:r>
      <w:r w:rsidRPr="003F4126">
        <w:rPr>
          <w:rFonts w:ascii="Times New Roman" w:hAnsi="Times New Roman"/>
          <w:sz w:val="28"/>
          <w:szCs w:val="28"/>
          <w:lang w:val="uk-UA"/>
        </w:rPr>
        <w:tab/>
      </w:r>
      <w:r w:rsidRPr="003F4126">
        <w:rPr>
          <w:rFonts w:ascii="Times New Roman" w:hAnsi="Times New Roman"/>
          <w:sz w:val="28"/>
          <w:szCs w:val="28"/>
          <w:lang w:val="uk-UA"/>
        </w:rPr>
        <w:tab/>
      </w:r>
      <w:r w:rsidRPr="003F4126">
        <w:rPr>
          <w:rFonts w:ascii="Times New Roman" w:hAnsi="Times New Roman"/>
          <w:sz w:val="28"/>
          <w:szCs w:val="28"/>
          <w:lang w:val="uk-UA"/>
        </w:rPr>
        <w:tab/>
      </w:r>
      <w:r w:rsidRPr="003F4126">
        <w:rPr>
          <w:rFonts w:ascii="Times New Roman" w:hAnsi="Times New Roman"/>
          <w:sz w:val="28"/>
          <w:szCs w:val="28"/>
          <w:lang w:val="uk-UA"/>
        </w:rPr>
        <w:tab/>
      </w:r>
      <w:r>
        <w:rPr>
          <w:rFonts w:ascii="Times New Roman" w:hAnsi="Times New Roman"/>
          <w:sz w:val="28"/>
          <w:szCs w:val="28"/>
          <w:lang w:val="uk-UA"/>
        </w:rPr>
        <w:t>Сергій БОБІН</w:t>
      </w:r>
    </w:p>
    <w:sectPr w:rsidR="000C5DE5" w:rsidRPr="003F4126" w:rsidSect="005E71B6">
      <w:pgSz w:w="11906" w:h="16838"/>
      <w:pgMar w:top="709"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4CA1"/>
    <w:multiLevelType w:val="hybridMultilevel"/>
    <w:tmpl w:val="0D2E0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FB1240"/>
    <w:multiLevelType w:val="hybridMultilevel"/>
    <w:tmpl w:val="46F80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7F4991"/>
    <w:multiLevelType w:val="hybridMultilevel"/>
    <w:tmpl w:val="AE4E8E7E"/>
    <w:lvl w:ilvl="0" w:tplc="2670E870">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1B2B47"/>
    <w:multiLevelType w:val="hybridMultilevel"/>
    <w:tmpl w:val="5D0616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0B6869"/>
    <w:multiLevelType w:val="hybridMultilevel"/>
    <w:tmpl w:val="C96E2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F64EF5"/>
    <w:multiLevelType w:val="hybridMultilevel"/>
    <w:tmpl w:val="06C64E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C954E99"/>
    <w:multiLevelType w:val="hybridMultilevel"/>
    <w:tmpl w:val="80C4406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6CBD542E"/>
    <w:multiLevelType w:val="hybridMultilevel"/>
    <w:tmpl w:val="2E0E21F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2"/>
  </w:num>
  <w:num w:numId="2">
    <w:abstractNumId w:val="3"/>
  </w:num>
  <w:num w:numId="3">
    <w:abstractNumId w:val="5"/>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3533"/>
    <w:rsid w:val="00022F51"/>
    <w:rsid w:val="00027B6E"/>
    <w:rsid w:val="00033128"/>
    <w:rsid w:val="00065DEB"/>
    <w:rsid w:val="00090F2B"/>
    <w:rsid w:val="00093D57"/>
    <w:rsid w:val="0009748C"/>
    <w:rsid w:val="000A0371"/>
    <w:rsid w:val="000B63B7"/>
    <w:rsid w:val="000B7AE9"/>
    <w:rsid w:val="000C3533"/>
    <w:rsid w:val="000C5DE5"/>
    <w:rsid w:val="000F0FE2"/>
    <w:rsid w:val="0012041C"/>
    <w:rsid w:val="001238B1"/>
    <w:rsid w:val="00125326"/>
    <w:rsid w:val="0017122B"/>
    <w:rsid w:val="001761E6"/>
    <w:rsid w:val="001816C2"/>
    <w:rsid w:val="001930A0"/>
    <w:rsid w:val="001A290E"/>
    <w:rsid w:val="001B16E6"/>
    <w:rsid w:val="001B295E"/>
    <w:rsid w:val="001C0289"/>
    <w:rsid w:val="001F4038"/>
    <w:rsid w:val="00233F80"/>
    <w:rsid w:val="00243978"/>
    <w:rsid w:val="00256A3F"/>
    <w:rsid w:val="0027510D"/>
    <w:rsid w:val="00286DA6"/>
    <w:rsid w:val="002935CC"/>
    <w:rsid w:val="00293FD7"/>
    <w:rsid w:val="00295803"/>
    <w:rsid w:val="002A2DF2"/>
    <w:rsid w:val="002C380E"/>
    <w:rsid w:val="002C5A31"/>
    <w:rsid w:val="002E7971"/>
    <w:rsid w:val="002F7F09"/>
    <w:rsid w:val="00303179"/>
    <w:rsid w:val="00322A41"/>
    <w:rsid w:val="00324AAE"/>
    <w:rsid w:val="00333E09"/>
    <w:rsid w:val="00335E22"/>
    <w:rsid w:val="00346A00"/>
    <w:rsid w:val="003926B2"/>
    <w:rsid w:val="00392FED"/>
    <w:rsid w:val="00394C51"/>
    <w:rsid w:val="003A4450"/>
    <w:rsid w:val="003A7D9F"/>
    <w:rsid w:val="003C4BCB"/>
    <w:rsid w:val="003C6438"/>
    <w:rsid w:val="003E6B0D"/>
    <w:rsid w:val="003F4126"/>
    <w:rsid w:val="003F737F"/>
    <w:rsid w:val="00442F92"/>
    <w:rsid w:val="00476140"/>
    <w:rsid w:val="004C77B0"/>
    <w:rsid w:val="004D3EC9"/>
    <w:rsid w:val="004E57D8"/>
    <w:rsid w:val="004E7B8D"/>
    <w:rsid w:val="00503F53"/>
    <w:rsid w:val="005157E8"/>
    <w:rsid w:val="00521C28"/>
    <w:rsid w:val="00526E3D"/>
    <w:rsid w:val="00531E36"/>
    <w:rsid w:val="00535B53"/>
    <w:rsid w:val="00560C70"/>
    <w:rsid w:val="00567827"/>
    <w:rsid w:val="0058230F"/>
    <w:rsid w:val="005C3499"/>
    <w:rsid w:val="005E71B6"/>
    <w:rsid w:val="00613493"/>
    <w:rsid w:val="006173B0"/>
    <w:rsid w:val="00637D4C"/>
    <w:rsid w:val="00644678"/>
    <w:rsid w:val="00651756"/>
    <w:rsid w:val="00671AEC"/>
    <w:rsid w:val="006819D2"/>
    <w:rsid w:val="006878C4"/>
    <w:rsid w:val="006B35BD"/>
    <w:rsid w:val="006C2656"/>
    <w:rsid w:val="006C5FF2"/>
    <w:rsid w:val="006D2815"/>
    <w:rsid w:val="006F1EB4"/>
    <w:rsid w:val="006F6F19"/>
    <w:rsid w:val="00727FFD"/>
    <w:rsid w:val="00733776"/>
    <w:rsid w:val="0074608A"/>
    <w:rsid w:val="00762544"/>
    <w:rsid w:val="007864B0"/>
    <w:rsid w:val="00790006"/>
    <w:rsid w:val="007B27F9"/>
    <w:rsid w:val="007B3C68"/>
    <w:rsid w:val="007B4134"/>
    <w:rsid w:val="00801074"/>
    <w:rsid w:val="0080584F"/>
    <w:rsid w:val="00813539"/>
    <w:rsid w:val="00816694"/>
    <w:rsid w:val="00820594"/>
    <w:rsid w:val="00825C76"/>
    <w:rsid w:val="0083515E"/>
    <w:rsid w:val="00861F02"/>
    <w:rsid w:val="00875D53"/>
    <w:rsid w:val="00886E3E"/>
    <w:rsid w:val="008B28FD"/>
    <w:rsid w:val="008C59E4"/>
    <w:rsid w:val="008E7A45"/>
    <w:rsid w:val="0096065F"/>
    <w:rsid w:val="009A311E"/>
    <w:rsid w:val="009A79CE"/>
    <w:rsid w:val="009A7B05"/>
    <w:rsid w:val="009C37E5"/>
    <w:rsid w:val="009C68E8"/>
    <w:rsid w:val="009D3B52"/>
    <w:rsid w:val="009F3EC7"/>
    <w:rsid w:val="00A079E3"/>
    <w:rsid w:val="00A14D2B"/>
    <w:rsid w:val="00A5411C"/>
    <w:rsid w:val="00A83FDC"/>
    <w:rsid w:val="00AC1FCC"/>
    <w:rsid w:val="00AC51B7"/>
    <w:rsid w:val="00AC6260"/>
    <w:rsid w:val="00AE725B"/>
    <w:rsid w:val="00AF18F4"/>
    <w:rsid w:val="00B144B5"/>
    <w:rsid w:val="00B34F42"/>
    <w:rsid w:val="00B37CFC"/>
    <w:rsid w:val="00B5535F"/>
    <w:rsid w:val="00B77E83"/>
    <w:rsid w:val="00BC2F2E"/>
    <w:rsid w:val="00BC69ED"/>
    <w:rsid w:val="00BD026C"/>
    <w:rsid w:val="00BE78A0"/>
    <w:rsid w:val="00C15031"/>
    <w:rsid w:val="00C15BF4"/>
    <w:rsid w:val="00C52F6D"/>
    <w:rsid w:val="00C53617"/>
    <w:rsid w:val="00C53A3E"/>
    <w:rsid w:val="00C6757B"/>
    <w:rsid w:val="00C75116"/>
    <w:rsid w:val="00C758C9"/>
    <w:rsid w:val="00C854C7"/>
    <w:rsid w:val="00C9171E"/>
    <w:rsid w:val="00C94E43"/>
    <w:rsid w:val="00CB041F"/>
    <w:rsid w:val="00CB1A21"/>
    <w:rsid w:val="00CC169A"/>
    <w:rsid w:val="00CC7DFC"/>
    <w:rsid w:val="00CD40A7"/>
    <w:rsid w:val="00CF75DE"/>
    <w:rsid w:val="00D0174E"/>
    <w:rsid w:val="00D01A62"/>
    <w:rsid w:val="00D06983"/>
    <w:rsid w:val="00D43F43"/>
    <w:rsid w:val="00D8007E"/>
    <w:rsid w:val="00DB5A17"/>
    <w:rsid w:val="00DD1FD3"/>
    <w:rsid w:val="00DD464F"/>
    <w:rsid w:val="00DE14E2"/>
    <w:rsid w:val="00DE7F1F"/>
    <w:rsid w:val="00DF3634"/>
    <w:rsid w:val="00E0190D"/>
    <w:rsid w:val="00E1529B"/>
    <w:rsid w:val="00E231A5"/>
    <w:rsid w:val="00E25530"/>
    <w:rsid w:val="00E74212"/>
    <w:rsid w:val="00E7513A"/>
    <w:rsid w:val="00EB4182"/>
    <w:rsid w:val="00EC3F35"/>
    <w:rsid w:val="00F04C64"/>
    <w:rsid w:val="00F14DFE"/>
    <w:rsid w:val="00F502A9"/>
    <w:rsid w:val="00F7594E"/>
    <w:rsid w:val="00F929E6"/>
    <w:rsid w:val="00FB17ED"/>
    <w:rsid w:val="00FB6678"/>
    <w:rsid w:val="00FD330C"/>
    <w:rsid w:val="00FE2D6A"/>
    <w:rsid w:val="00FF1A2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28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5BF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2041C"/>
    <w:pPr>
      <w:spacing w:after="0" w:line="240" w:lineRule="auto"/>
    </w:pPr>
    <w:rPr>
      <w:rFonts w:ascii="Segoe UI" w:hAnsi="Segoe UI"/>
      <w:sz w:val="18"/>
      <w:szCs w:val="20"/>
      <w:lang w:val="en-US" w:eastAsia="ru-RU"/>
    </w:rPr>
  </w:style>
  <w:style w:type="character" w:customStyle="1" w:styleId="BalloonTextChar">
    <w:name w:val="Balloon Text Char"/>
    <w:basedOn w:val="DefaultParagraphFont"/>
    <w:link w:val="BalloonText"/>
    <w:uiPriority w:val="99"/>
    <w:semiHidden/>
    <w:locked/>
    <w:rsid w:val="0012041C"/>
    <w:rPr>
      <w:rFonts w:ascii="Segoe UI" w:hAnsi="Segoe UI" w:cs="Times New Roman"/>
      <w:sz w:val="18"/>
    </w:rPr>
  </w:style>
  <w:style w:type="paragraph" w:styleId="ListParagraph">
    <w:name w:val="List Paragraph"/>
    <w:basedOn w:val="Normal"/>
    <w:uiPriority w:val="99"/>
    <w:qFormat/>
    <w:rsid w:val="006819D2"/>
    <w:pPr>
      <w:ind w:left="720"/>
      <w:contextualSpacing/>
    </w:pPr>
  </w:style>
  <w:style w:type="paragraph" w:styleId="NormalWeb">
    <w:name w:val="Normal (Web)"/>
    <w:basedOn w:val="Normal"/>
    <w:uiPriority w:val="99"/>
    <w:semiHidden/>
    <w:rsid w:val="004E57D8"/>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4E57D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8682846">
      <w:marLeft w:val="0"/>
      <w:marRight w:val="0"/>
      <w:marTop w:val="0"/>
      <w:marBottom w:val="0"/>
      <w:divBdr>
        <w:top w:val="none" w:sz="0" w:space="0" w:color="auto"/>
        <w:left w:val="none" w:sz="0" w:space="0" w:color="auto"/>
        <w:bottom w:val="none" w:sz="0" w:space="0" w:color="auto"/>
        <w:right w:val="none" w:sz="0" w:space="0" w:color="auto"/>
      </w:divBdr>
    </w:div>
    <w:div w:id="1208682847">
      <w:marLeft w:val="0"/>
      <w:marRight w:val="0"/>
      <w:marTop w:val="0"/>
      <w:marBottom w:val="0"/>
      <w:divBdr>
        <w:top w:val="none" w:sz="0" w:space="0" w:color="auto"/>
        <w:left w:val="none" w:sz="0" w:space="0" w:color="auto"/>
        <w:bottom w:val="none" w:sz="0" w:space="0" w:color="auto"/>
        <w:right w:val="none" w:sz="0" w:space="0" w:color="auto"/>
      </w:divBdr>
    </w:div>
    <w:div w:id="12086828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701</Words>
  <Characters>3997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Пользователь Windows</dc:creator>
  <cp:keywords/>
  <dc:description/>
  <cp:lastModifiedBy>Depviddil</cp:lastModifiedBy>
  <cp:revision>2</cp:revision>
  <cp:lastPrinted>2021-10-13T06:01:00Z</cp:lastPrinted>
  <dcterms:created xsi:type="dcterms:W3CDTF">2021-12-10T06:37:00Z</dcterms:created>
  <dcterms:modified xsi:type="dcterms:W3CDTF">2021-12-10T06:37:00Z</dcterms:modified>
</cp:coreProperties>
</file>