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12" w:rsidRPr="009F5CCE" w:rsidRDefault="00ED5F12" w:rsidP="00B23CDD">
      <w:pPr>
        <w:spacing w:after="0" w:line="240" w:lineRule="auto"/>
        <w:ind w:firstLine="708"/>
        <w:jc w:val="center"/>
        <w:rPr>
          <w:rFonts w:ascii="Times New Roman" w:hAnsi="Times New Roman"/>
          <w:b/>
          <w:sz w:val="28"/>
          <w:szCs w:val="28"/>
        </w:rPr>
      </w:pPr>
      <w:r w:rsidRPr="009F5CCE">
        <w:rPr>
          <w:rFonts w:ascii="Times New Roman" w:hAnsi="Times New Roman"/>
          <w:b/>
          <w:sz w:val="28"/>
          <w:szCs w:val="28"/>
        </w:rPr>
        <w:t>Пояснювальна записка</w:t>
      </w:r>
    </w:p>
    <w:p w:rsidR="00ED5F12" w:rsidRPr="009F5CCE" w:rsidRDefault="00ED5F12" w:rsidP="002910DF">
      <w:pPr>
        <w:spacing w:after="0" w:line="240" w:lineRule="auto"/>
        <w:jc w:val="center"/>
        <w:rPr>
          <w:rFonts w:ascii="Times New Roman" w:hAnsi="Times New Roman"/>
          <w:b/>
          <w:sz w:val="28"/>
          <w:szCs w:val="28"/>
        </w:rPr>
      </w:pPr>
      <w:r w:rsidRPr="009F5CCE">
        <w:rPr>
          <w:rFonts w:ascii="Times New Roman" w:hAnsi="Times New Roman"/>
          <w:b/>
          <w:sz w:val="28"/>
          <w:szCs w:val="28"/>
        </w:rPr>
        <w:t>до фінансового плану комунального некомерційного підприємства  Нетішинської  міської ради «Центр первинної медико-санітарної допомоги» на 2024 рік</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 xml:space="preserve">КНП НМР «ЦЕНТР ПМСД»  на 2024 рік планує отримати кошти в сумі </w:t>
      </w:r>
      <w:r w:rsidRPr="009F5CCE">
        <w:rPr>
          <w:rFonts w:ascii="Times New Roman" w:hAnsi="Times New Roman"/>
          <w:color w:val="000000"/>
          <w:sz w:val="28"/>
          <w:szCs w:val="28"/>
        </w:rPr>
        <w:t>27003,00</w:t>
      </w:r>
      <w:r w:rsidRPr="009F5CCE">
        <w:rPr>
          <w:rFonts w:ascii="Times New Roman" w:hAnsi="Times New Roman"/>
          <w:color w:val="FF0000"/>
          <w:sz w:val="28"/>
          <w:szCs w:val="28"/>
        </w:rPr>
        <w:t xml:space="preserve"> </w:t>
      </w:r>
      <w:r w:rsidRPr="009F5CCE">
        <w:rPr>
          <w:rFonts w:ascii="Times New Roman" w:hAnsi="Times New Roman"/>
          <w:sz w:val="28"/>
          <w:szCs w:val="28"/>
        </w:rPr>
        <w:t xml:space="preserve">тис. грн в тому числі 23600,00 тис. грн від Національної служби здоров’я України, </w:t>
      </w:r>
      <w:r w:rsidRPr="009F5CCE">
        <w:rPr>
          <w:rFonts w:ascii="Times New Roman" w:hAnsi="Times New Roman"/>
          <w:color w:val="000000"/>
          <w:sz w:val="28"/>
          <w:szCs w:val="28"/>
        </w:rPr>
        <w:t xml:space="preserve">2843,00 </w:t>
      </w:r>
      <w:r w:rsidRPr="009F5CCE">
        <w:rPr>
          <w:rFonts w:ascii="Times New Roman" w:hAnsi="Times New Roman"/>
          <w:sz w:val="28"/>
          <w:szCs w:val="28"/>
        </w:rPr>
        <w:t>тис. грн – кошти місцевого бюджету, 560,00 тис. грн відсотки за депозитом. Кількість штатних посад по КНП НМР «ЦЕНТР ПМСД» становить       92,75  одиниць, в т. ч.:</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Лікарі                                                                           - 28,50 од;</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Молодші спеціалісти з медичною освітою                  - 35,0 од;</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Молодший медперсонал                                              - 4,0 од;</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 xml:space="preserve">Спеціалісти не медики                                                 - 12,50 од; </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Інший персонал                                                            - 12,75 од.</w:t>
      </w:r>
    </w:p>
    <w:p w:rsidR="00ED5F12" w:rsidRPr="009F5CCE" w:rsidRDefault="00ED5F12" w:rsidP="002910DF">
      <w:pPr>
        <w:spacing w:after="0" w:line="240" w:lineRule="auto"/>
        <w:ind w:firstLine="708"/>
        <w:jc w:val="both"/>
        <w:rPr>
          <w:rFonts w:ascii="Times New Roman" w:hAnsi="Times New Roman"/>
          <w:b/>
          <w:sz w:val="28"/>
          <w:szCs w:val="28"/>
        </w:rPr>
      </w:pPr>
      <w:r w:rsidRPr="009F5CCE">
        <w:rPr>
          <w:rFonts w:ascii="Times New Roman" w:hAnsi="Times New Roman"/>
          <w:b/>
          <w:sz w:val="28"/>
          <w:szCs w:val="28"/>
        </w:rPr>
        <w:t>Дохідна  частина фінансового плану на 2024 рік :</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Усього доходів 32859,00 тис. грн.,  в тому числі:</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    дохід від НСЗУ - 23600,00 тис. грн.;</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 xml:space="preserve">-   дохід з місцевого бюджету цільового фінансування -2843,00 тис. грн., а саме відшкодування комунальних послуг та енергоносіїв – 793,00 тис. грн.,  відшкодування коштів відповідно </w:t>
      </w:r>
      <w:r w:rsidRPr="009F5CCE">
        <w:rPr>
          <w:rFonts w:ascii="Times New Roman" w:hAnsi="Times New Roman"/>
          <w:sz w:val="28"/>
          <w:szCs w:val="28"/>
          <w:shd w:val="clear" w:color="auto" w:fill="FFFFFF"/>
        </w:rPr>
        <w:t xml:space="preserve">до </w:t>
      </w:r>
      <w:hyperlink r:id="rId5" w:tgtFrame="_blank" w:history="1">
        <w:r w:rsidRPr="009F5CCE">
          <w:rPr>
            <w:rStyle w:val="Hyperlink"/>
            <w:rFonts w:ascii="Times New Roman" w:hAnsi="Times New Roman"/>
            <w:color w:val="auto"/>
            <w:sz w:val="28"/>
            <w:szCs w:val="28"/>
            <w:u w:val="none"/>
            <w:shd w:val="clear" w:color="auto" w:fill="FFFFFF"/>
          </w:rPr>
          <w:t>постанови Кабінету Міністрів України від 17 серпня 1998 року №1303</w:t>
        </w:r>
      </w:hyperlink>
      <w:r w:rsidRPr="009F5CCE">
        <w:rPr>
          <w:rFonts w:ascii="Times New Roman" w:hAnsi="Times New Roman"/>
          <w:sz w:val="28"/>
          <w:szCs w:val="28"/>
        </w:rPr>
        <w:t xml:space="preserve"> </w:t>
      </w:r>
      <w:r w:rsidRPr="009F5CCE">
        <w:rPr>
          <w:rFonts w:ascii="Times New Roman" w:hAnsi="Times New Roman"/>
          <w:sz w:val="28"/>
          <w:szCs w:val="28"/>
          <w:lang w:eastAsia="ru-RU"/>
        </w:rPr>
        <w:t>«</w:t>
      </w:r>
      <w:r w:rsidRPr="009F5CCE">
        <w:rPr>
          <w:rFonts w:ascii="Times New Roman" w:hAnsi="Times New Roman"/>
          <w:bCs/>
          <w:sz w:val="28"/>
          <w:szCs w:val="28"/>
          <w:shd w:val="clear" w:color="auto" w:fill="FFFFFF"/>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9F5CCE">
        <w:rPr>
          <w:rFonts w:ascii="Times New Roman" w:hAnsi="Times New Roman"/>
          <w:sz w:val="28"/>
          <w:szCs w:val="28"/>
          <w:lang w:eastAsia="ru-RU"/>
        </w:rPr>
        <w:t>»</w:t>
      </w:r>
      <w:r w:rsidRPr="009F5CCE">
        <w:rPr>
          <w:rFonts w:ascii="Times New Roman" w:hAnsi="Times New Roman"/>
          <w:sz w:val="28"/>
          <w:szCs w:val="28"/>
        </w:rPr>
        <w:t>- 2000,00 тис. грн., туберкулін -50 тис. грн.;</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   дохід з відсотків по депозитах -560,00 тис. грн.;</w:t>
      </w:r>
    </w:p>
    <w:p w:rsidR="00ED5F12" w:rsidRPr="009F5CCE" w:rsidRDefault="00ED5F12" w:rsidP="00247E46">
      <w:pPr>
        <w:spacing w:after="0" w:line="240" w:lineRule="auto"/>
        <w:ind w:firstLine="708"/>
        <w:jc w:val="both"/>
        <w:rPr>
          <w:rFonts w:ascii="Times New Roman" w:hAnsi="Times New Roman"/>
          <w:sz w:val="28"/>
          <w:szCs w:val="28"/>
        </w:rPr>
      </w:pPr>
      <w:r w:rsidRPr="009F5CCE">
        <w:rPr>
          <w:rFonts w:ascii="Times New Roman" w:hAnsi="Times New Roman"/>
          <w:sz w:val="28"/>
          <w:szCs w:val="28"/>
        </w:rPr>
        <w:t>- надходження з обласного бюджету (централізовані закупівлі) - 1200,00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rPr>
        <w:t>- надходження з державного бюджету (централізовані закупівлі) – 3720,00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амортизація - 936,00 тис. грн.</w:t>
      </w:r>
    </w:p>
    <w:p w:rsidR="00ED5F12" w:rsidRPr="009F5CCE" w:rsidRDefault="00ED5F12" w:rsidP="002910DF">
      <w:pPr>
        <w:spacing w:after="0" w:line="240" w:lineRule="auto"/>
        <w:ind w:firstLine="708"/>
        <w:jc w:val="both"/>
        <w:rPr>
          <w:rFonts w:ascii="Times New Roman" w:hAnsi="Times New Roman"/>
          <w:b/>
          <w:sz w:val="28"/>
          <w:szCs w:val="28"/>
          <w:lang w:eastAsia="ru-RU"/>
        </w:rPr>
      </w:pPr>
      <w:r w:rsidRPr="009F5CCE">
        <w:rPr>
          <w:rFonts w:ascii="Times New Roman" w:hAnsi="Times New Roman"/>
          <w:b/>
          <w:sz w:val="28"/>
          <w:szCs w:val="28"/>
          <w:lang w:eastAsia="ru-RU"/>
        </w:rPr>
        <w:t xml:space="preserve">Витратна частина  </w:t>
      </w:r>
      <w:r w:rsidRPr="009F5CCE">
        <w:rPr>
          <w:rFonts w:ascii="Times New Roman" w:hAnsi="Times New Roman"/>
          <w:b/>
          <w:sz w:val="28"/>
          <w:szCs w:val="28"/>
        </w:rPr>
        <w:t>фінансового плану на 2024 рік :</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Витрати установи  разом становить – 34359,00 тис. грн.,  в тому числі з:</w:t>
      </w:r>
    </w:p>
    <w:p w:rsidR="00ED5F12" w:rsidRPr="009F5CCE" w:rsidRDefault="00ED5F12" w:rsidP="00247E46">
      <w:pPr>
        <w:spacing w:after="0" w:line="240" w:lineRule="auto"/>
        <w:ind w:firstLine="708"/>
        <w:jc w:val="both"/>
        <w:rPr>
          <w:rFonts w:ascii="Times New Roman" w:hAnsi="Times New Roman"/>
          <w:b/>
          <w:i/>
          <w:sz w:val="28"/>
          <w:szCs w:val="28"/>
          <w:lang w:eastAsia="ru-RU"/>
        </w:rPr>
      </w:pPr>
      <w:r w:rsidRPr="009F5CCE">
        <w:rPr>
          <w:rFonts w:ascii="Times New Roman" w:hAnsi="Times New Roman"/>
          <w:b/>
          <w:i/>
          <w:sz w:val="28"/>
          <w:szCs w:val="28"/>
          <w:lang w:eastAsia="ru-RU"/>
        </w:rPr>
        <w:t>«Собівартість реалізованої продукції (товарів, робіт, послуг)»-16244,00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Витрати на оплату праці – 12751,00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Відрахування на соціальні заходи – 2805,00 тис. грн.</w:t>
      </w:r>
    </w:p>
    <w:p w:rsidR="00ED5F12" w:rsidRPr="009F5CCE" w:rsidRDefault="00ED5F12" w:rsidP="00871F75">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Витрати на сировину та основні матеріали - 687,00 тис. грн.;</w:t>
      </w:r>
    </w:p>
    <w:p w:rsidR="00ED5F12" w:rsidRPr="009F5CCE" w:rsidRDefault="00ED5F12" w:rsidP="00247E46">
      <w:pPr>
        <w:spacing w:after="0" w:line="240" w:lineRule="auto"/>
        <w:ind w:firstLine="708"/>
        <w:jc w:val="both"/>
        <w:rPr>
          <w:rFonts w:ascii="Times New Roman" w:hAnsi="Times New Roman"/>
          <w:i/>
          <w:sz w:val="28"/>
          <w:szCs w:val="28"/>
          <w:lang w:eastAsia="ru-RU"/>
        </w:rPr>
      </w:pPr>
      <w:r w:rsidRPr="009F5CCE">
        <w:rPr>
          <w:rFonts w:ascii="Times New Roman" w:hAnsi="Times New Roman"/>
          <w:b/>
          <w:i/>
          <w:sz w:val="28"/>
          <w:szCs w:val="28"/>
          <w:lang w:eastAsia="ru-RU"/>
        </w:rPr>
        <w:t>«Адміністративні витрати» -10479,00 тис. грн</w:t>
      </w:r>
      <w:r w:rsidRPr="009F5CCE">
        <w:rPr>
          <w:rFonts w:ascii="Times New Roman" w:hAnsi="Times New Roman"/>
          <w:i/>
          <w:sz w:val="28"/>
          <w:szCs w:val="28"/>
          <w:lang w:eastAsia="ru-RU"/>
        </w:rPr>
        <w:t xml:space="preserve">.,  </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Витрати на страхові послуги (страхування водіїв, автотранспортних засобів та ін.) – 15,00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Витрати на відрядження - 100,00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Витрати на зв'язок -70,00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xml:space="preserve">- Витрати на оплату праці – 4778,00 тис. грн; </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Відрахування на соціальні заходи - 1029,00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Витрати на охорону праці – 55,00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«Предмети, матеріали, обладнання та інвентар» - 810,00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господарчі товари, інвентар, автозапчастини, канцелярія та інше -  735,00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паливо 75,00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«Оплата послуг, крім комунальних» (телефонний зв'язок, охорона об’єктів, оплата інтернет послуг, послуги ЖКО, лабораторні послуги, поточні ремонти автомобілів, комп’ютерної техніки, відшкодування витрат орендодавцю обслуговування бух. програми, послуг Medics-медичної соціальної платформи тощо) – 759,00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«Інші витрати (штрафи, пені) – 20,00 тис. грн.;</w:t>
      </w:r>
    </w:p>
    <w:p w:rsidR="00ED5F12" w:rsidRPr="009F5CCE" w:rsidRDefault="00ED5F12" w:rsidP="001F5A0B">
      <w:pPr>
        <w:spacing w:after="0" w:line="240" w:lineRule="auto"/>
        <w:ind w:firstLine="708"/>
        <w:jc w:val="both"/>
        <w:rPr>
          <w:rFonts w:ascii="Times New Roman" w:hAnsi="Times New Roman"/>
          <w:sz w:val="28"/>
          <w:szCs w:val="28"/>
        </w:rPr>
      </w:pPr>
      <w:r w:rsidRPr="009F5CCE">
        <w:rPr>
          <w:rFonts w:ascii="Times New Roman" w:hAnsi="Times New Roman"/>
          <w:sz w:val="28"/>
          <w:szCs w:val="28"/>
          <w:lang w:eastAsia="ru-RU"/>
        </w:rPr>
        <w:t xml:space="preserve">- </w:t>
      </w:r>
      <w:r w:rsidRPr="009F5CCE">
        <w:rPr>
          <w:rFonts w:ascii="Times New Roman" w:hAnsi="Times New Roman"/>
          <w:sz w:val="28"/>
          <w:szCs w:val="28"/>
        </w:rPr>
        <w:t xml:space="preserve">витрати з місцевого бюджету цільового фінансування -2843,00 тис. грн., а саме відшкодування комунальних послуг та енергоносіїв - 793,00 тис. грн., відшкодування коштів відповідно </w:t>
      </w:r>
      <w:r w:rsidRPr="009F5CCE">
        <w:rPr>
          <w:rFonts w:ascii="Times New Roman" w:hAnsi="Times New Roman"/>
          <w:sz w:val="28"/>
          <w:szCs w:val="28"/>
          <w:shd w:val="clear" w:color="auto" w:fill="FFFFFF"/>
        </w:rPr>
        <w:t xml:space="preserve">до </w:t>
      </w:r>
      <w:hyperlink r:id="rId6" w:tgtFrame="_blank" w:history="1">
        <w:r w:rsidRPr="009F5CCE">
          <w:rPr>
            <w:rStyle w:val="Hyperlink"/>
            <w:rFonts w:ascii="Times New Roman" w:hAnsi="Times New Roman"/>
            <w:color w:val="auto"/>
            <w:sz w:val="28"/>
            <w:szCs w:val="28"/>
            <w:u w:val="none"/>
            <w:shd w:val="clear" w:color="auto" w:fill="FFFFFF"/>
          </w:rPr>
          <w:t>постанови Кабінету Міністрів України від 17 серпня 1998 року №1303</w:t>
        </w:r>
      </w:hyperlink>
      <w:r w:rsidRPr="009F5CCE">
        <w:rPr>
          <w:rFonts w:ascii="Times New Roman" w:hAnsi="Times New Roman"/>
          <w:sz w:val="28"/>
          <w:szCs w:val="28"/>
        </w:rPr>
        <w:t xml:space="preserve"> </w:t>
      </w:r>
      <w:r w:rsidRPr="009F5CCE">
        <w:rPr>
          <w:rFonts w:ascii="Times New Roman" w:hAnsi="Times New Roman"/>
          <w:sz w:val="28"/>
          <w:szCs w:val="28"/>
          <w:lang w:eastAsia="ru-RU"/>
        </w:rPr>
        <w:t>«</w:t>
      </w:r>
      <w:r w:rsidRPr="009F5CCE">
        <w:rPr>
          <w:rFonts w:ascii="Times New Roman" w:hAnsi="Times New Roman"/>
          <w:bCs/>
          <w:sz w:val="28"/>
          <w:szCs w:val="28"/>
          <w:shd w:val="clear" w:color="auto" w:fill="FFFFFF"/>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9F5CCE">
        <w:rPr>
          <w:rFonts w:ascii="Times New Roman" w:hAnsi="Times New Roman"/>
          <w:sz w:val="28"/>
          <w:szCs w:val="28"/>
          <w:lang w:eastAsia="ru-RU"/>
        </w:rPr>
        <w:t>»</w:t>
      </w:r>
      <w:r w:rsidRPr="009F5CCE">
        <w:rPr>
          <w:rFonts w:ascii="Times New Roman" w:hAnsi="Times New Roman"/>
          <w:sz w:val="28"/>
          <w:szCs w:val="28"/>
        </w:rPr>
        <w:t>- 2000,00 тис. грн., туберкулін -50 тис. грн.;</w:t>
      </w:r>
    </w:p>
    <w:p w:rsidR="00ED5F12" w:rsidRPr="009F5CCE" w:rsidRDefault="00ED5F12" w:rsidP="001F5A0B">
      <w:pPr>
        <w:spacing w:after="0" w:line="240" w:lineRule="auto"/>
        <w:ind w:firstLine="708"/>
        <w:jc w:val="both"/>
        <w:rPr>
          <w:rFonts w:ascii="Times New Roman" w:hAnsi="Times New Roman"/>
          <w:b/>
          <w:i/>
          <w:sz w:val="28"/>
          <w:szCs w:val="28"/>
          <w:lang w:eastAsia="ru-RU"/>
        </w:rPr>
      </w:pPr>
      <w:r w:rsidRPr="009F5CCE">
        <w:rPr>
          <w:rFonts w:ascii="Times New Roman" w:hAnsi="Times New Roman"/>
          <w:b/>
          <w:i/>
          <w:sz w:val="28"/>
          <w:szCs w:val="28"/>
          <w:lang w:eastAsia="ru-RU"/>
        </w:rPr>
        <w:t xml:space="preserve"> « Інші операційні  витрати»- 4436,00 тис. грн</w:t>
      </w:r>
    </w:p>
    <w:p w:rsidR="00ED5F12" w:rsidRPr="009F5CCE" w:rsidRDefault="00ED5F12" w:rsidP="00035E79">
      <w:pPr>
        <w:pStyle w:val="ListParagraph"/>
        <w:numPr>
          <w:ilvl w:val="0"/>
          <w:numId w:val="2"/>
        </w:numPr>
        <w:spacing w:after="0" w:line="240" w:lineRule="auto"/>
        <w:jc w:val="both"/>
        <w:rPr>
          <w:rFonts w:ascii="Times New Roman" w:hAnsi="Times New Roman"/>
          <w:sz w:val="28"/>
          <w:szCs w:val="28"/>
        </w:rPr>
      </w:pPr>
      <w:r w:rsidRPr="009F5CCE">
        <w:rPr>
          <w:rFonts w:ascii="Times New Roman" w:hAnsi="Times New Roman"/>
          <w:sz w:val="28"/>
          <w:szCs w:val="28"/>
        </w:rPr>
        <w:t xml:space="preserve"> Амортизація – 936,00 тис. грн.;</w:t>
      </w:r>
    </w:p>
    <w:p w:rsidR="00ED5F12" w:rsidRPr="009F5CCE" w:rsidRDefault="00ED5F12" w:rsidP="00035E79">
      <w:pPr>
        <w:pStyle w:val="ListParagraph"/>
        <w:numPr>
          <w:ilvl w:val="0"/>
          <w:numId w:val="2"/>
        </w:numPr>
        <w:spacing w:after="0" w:line="240" w:lineRule="auto"/>
        <w:jc w:val="both"/>
        <w:rPr>
          <w:rFonts w:ascii="Times New Roman" w:hAnsi="Times New Roman"/>
          <w:sz w:val="28"/>
          <w:szCs w:val="28"/>
        </w:rPr>
      </w:pPr>
      <w:r w:rsidRPr="009F5CCE">
        <w:rPr>
          <w:rFonts w:ascii="Times New Roman" w:hAnsi="Times New Roman"/>
          <w:sz w:val="28"/>
          <w:szCs w:val="28"/>
        </w:rPr>
        <w:t>Капітальний ремонт амбулаторії ЗПСМ №1-3500,00 тис. грн.</w:t>
      </w:r>
    </w:p>
    <w:p w:rsidR="00ED5F12" w:rsidRPr="009F5CCE" w:rsidRDefault="00ED5F12" w:rsidP="00247E46">
      <w:pPr>
        <w:spacing w:after="0" w:line="240" w:lineRule="auto"/>
        <w:ind w:firstLine="708"/>
        <w:jc w:val="both"/>
        <w:rPr>
          <w:rFonts w:ascii="Times New Roman" w:hAnsi="Times New Roman"/>
          <w:b/>
          <w:i/>
          <w:sz w:val="28"/>
          <w:szCs w:val="28"/>
          <w:lang w:eastAsia="ru-RU"/>
        </w:rPr>
      </w:pPr>
      <w:r w:rsidRPr="009F5CCE">
        <w:rPr>
          <w:rFonts w:ascii="Times New Roman" w:hAnsi="Times New Roman"/>
          <w:b/>
          <w:i/>
          <w:sz w:val="28"/>
          <w:szCs w:val="28"/>
          <w:lang w:eastAsia="ru-RU"/>
        </w:rPr>
        <w:t xml:space="preserve"> « Інші витрати»- 3200,00 тис. грн</w:t>
      </w:r>
    </w:p>
    <w:p w:rsidR="00ED5F12" w:rsidRPr="009F5CCE" w:rsidRDefault="00ED5F12" w:rsidP="00247E46">
      <w:pPr>
        <w:spacing w:after="0" w:line="240" w:lineRule="auto"/>
        <w:ind w:firstLine="708"/>
        <w:jc w:val="both"/>
        <w:rPr>
          <w:rFonts w:ascii="Times New Roman" w:hAnsi="Times New Roman"/>
          <w:sz w:val="26"/>
          <w:szCs w:val="26"/>
          <w:lang w:eastAsia="ru-RU"/>
        </w:rPr>
      </w:pPr>
      <w:r w:rsidRPr="009F5CCE">
        <w:rPr>
          <w:rFonts w:ascii="Times New Roman" w:hAnsi="Times New Roman"/>
          <w:sz w:val="26"/>
          <w:szCs w:val="26"/>
          <w:lang w:eastAsia="ru-RU"/>
        </w:rPr>
        <w:t>- Витрати з обласного бюджету (централізовані закупівлі) -800,00 тис. грн.;</w:t>
      </w:r>
    </w:p>
    <w:p w:rsidR="00ED5F12" w:rsidRPr="009F5CCE" w:rsidRDefault="00ED5F12" w:rsidP="00F2750B">
      <w:pPr>
        <w:spacing w:after="0" w:line="240" w:lineRule="auto"/>
        <w:jc w:val="both"/>
        <w:rPr>
          <w:rFonts w:ascii="Times New Roman" w:hAnsi="Times New Roman"/>
          <w:sz w:val="26"/>
          <w:szCs w:val="26"/>
          <w:lang w:eastAsia="ru-RU"/>
        </w:rPr>
      </w:pPr>
      <w:r w:rsidRPr="009F5CCE">
        <w:rPr>
          <w:rFonts w:ascii="Times New Roman" w:hAnsi="Times New Roman"/>
          <w:sz w:val="26"/>
          <w:szCs w:val="26"/>
          <w:lang w:eastAsia="ru-RU"/>
        </w:rPr>
        <w:t xml:space="preserve">          - Витрати з державного бюджету (централізовані закупівлі) -2400,00 тис. 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Обов’язкові платежі підприємства до бюджету та державних цільових фондів до інших видатків  віднесено :</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Податок на доходи фізичних осіб 18% - 3</w:t>
      </w:r>
      <w:r w:rsidRPr="009F5CCE">
        <w:rPr>
          <w:rFonts w:ascii="Times New Roman" w:hAnsi="Times New Roman"/>
          <w:sz w:val="28"/>
          <w:szCs w:val="28"/>
          <w:lang w:val="ru-RU" w:eastAsia="ru-RU"/>
        </w:rPr>
        <w:t>155</w:t>
      </w:r>
      <w:r w:rsidRPr="009F5CCE">
        <w:rPr>
          <w:rFonts w:ascii="Times New Roman" w:hAnsi="Times New Roman"/>
          <w:sz w:val="28"/>
          <w:szCs w:val="28"/>
          <w:lang w:eastAsia="ru-RU"/>
        </w:rPr>
        <w:t>, 00 тис.грн.;</w:t>
      </w:r>
    </w:p>
    <w:p w:rsidR="00ED5F12" w:rsidRPr="009F5CCE" w:rsidRDefault="00ED5F12" w:rsidP="00247E46">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Військовий збір 1,5% - 2</w:t>
      </w:r>
      <w:r w:rsidRPr="009F5CCE">
        <w:rPr>
          <w:rFonts w:ascii="Times New Roman" w:hAnsi="Times New Roman"/>
          <w:sz w:val="28"/>
          <w:szCs w:val="28"/>
          <w:lang w:val="ru-RU" w:eastAsia="ru-RU"/>
        </w:rPr>
        <w:t>63</w:t>
      </w:r>
      <w:r w:rsidRPr="009F5CCE">
        <w:rPr>
          <w:rFonts w:ascii="Times New Roman" w:hAnsi="Times New Roman"/>
          <w:sz w:val="28"/>
          <w:szCs w:val="28"/>
          <w:lang w:eastAsia="ru-RU"/>
        </w:rPr>
        <w:t>,00 тис. грн;</w:t>
      </w:r>
    </w:p>
    <w:p w:rsidR="00ED5F12" w:rsidRPr="009F5CCE" w:rsidRDefault="00ED5F12" w:rsidP="00F2750B">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 xml:space="preserve">- єдиний внесок на загальнообов’язкове державне соціальне страхування – </w:t>
      </w:r>
      <w:r w:rsidRPr="009F5CCE">
        <w:rPr>
          <w:rFonts w:ascii="Times New Roman" w:hAnsi="Times New Roman"/>
          <w:sz w:val="28"/>
          <w:szCs w:val="28"/>
          <w:lang w:val="ru-RU" w:eastAsia="ru-RU"/>
        </w:rPr>
        <w:t>3835</w:t>
      </w:r>
      <w:r w:rsidRPr="009F5CCE">
        <w:rPr>
          <w:rFonts w:ascii="Times New Roman" w:hAnsi="Times New Roman"/>
          <w:sz w:val="28"/>
          <w:szCs w:val="28"/>
          <w:lang w:eastAsia="ru-RU"/>
        </w:rPr>
        <w:t>,0 тис. грн.</w:t>
      </w:r>
    </w:p>
    <w:p w:rsidR="00ED5F12" w:rsidRPr="009F5CCE" w:rsidRDefault="00ED5F12" w:rsidP="00F2750B">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Підприємство планує здійснити капітальний ремонт амбулаторії ЗПСМ №1 на суму 3500 тис. грн  , що відобразиться одразу у витратах, оскільки КНП НМР «Центр ПМСД» орендує дане приміщення. Фінансування цих робіт здійснюватиметься за рахунок коштів на депозитних рахунках, які накопичились внаслідок прибуткової діяльності минулих років. Відповідно витрати підприємства перевищують доходи на 1500,0 тис. грн. і, як наслідок, утворюється збиток у сумі 1500,0 тис. грн, який  не є результатом господарської діяльності підприємства, а є відображенням ведення бухгалтерського обліку відповідно до П(С)БО.</w:t>
      </w:r>
    </w:p>
    <w:p w:rsidR="00ED5F12" w:rsidRPr="009F5CCE" w:rsidRDefault="00ED5F12" w:rsidP="00484D57">
      <w:pPr>
        <w:spacing w:after="0" w:line="240" w:lineRule="auto"/>
        <w:ind w:firstLine="708"/>
        <w:jc w:val="both"/>
        <w:rPr>
          <w:rFonts w:ascii="Times New Roman" w:hAnsi="Times New Roman"/>
          <w:sz w:val="28"/>
          <w:szCs w:val="28"/>
          <w:lang w:eastAsia="ru-RU"/>
        </w:rPr>
      </w:pPr>
      <w:r w:rsidRPr="009F5CCE">
        <w:rPr>
          <w:rFonts w:ascii="Times New Roman" w:hAnsi="Times New Roman"/>
          <w:sz w:val="28"/>
          <w:szCs w:val="28"/>
          <w:lang w:eastAsia="ru-RU"/>
        </w:rPr>
        <w:t>У судах загальної юрисдикції відсутні судові справи майнового характеру, стороною в яких є підприємство, відомості про стан виконання рішення суду або інших виконавчих документів, у яких зазначено суму, що підлягає сплаті, або яку стягнуто на користь підприємства, наслідки виконання яких матимуть вплив на фінансовий стан підприємства.</w:t>
      </w:r>
    </w:p>
    <w:p w:rsidR="00ED5F12" w:rsidRDefault="00ED5F12" w:rsidP="00B23CDD">
      <w:pPr>
        <w:spacing w:after="0" w:line="240" w:lineRule="auto"/>
        <w:rPr>
          <w:rFonts w:ascii="Times New Roman" w:hAnsi="Times New Roman"/>
          <w:sz w:val="28"/>
          <w:szCs w:val="28"/>
        </w:rPr>
      </w:pPr>
    </w:p>
    <w:p w:rsidR="00ED5F12" w:rsidRPr="00F2750B" w:rsidRDefault="00ED5F12" w:rsidP="00B23CDD">
      <w:pPr>
        <w:spacing w:after="0" w:line="240" w:lineRule="auto"/>
        <w:rPr>
          <w:rFonts w:ascii="Times New Roman" w:hAnsi="Times New Roman"/>
          <w:sz w:val="28"/>
          <w:szCs w:val="28"/>
        </w:rPr>
      </w:pPr>
      <w:r>
        <w:rPr>
          <w:rFonts w:ascii="Times New Roman" w:hAnsi="Times New Roman"/>
          <w:sz w:val="28"/>
          <w:szCs w:val="28"/>
        </w:rPr>
        <w:t>Директор</w:t>
      </w:r>
    </w:p>
    <w:p w:rsidR="00ED5F12" w:rsidRPr="00F2750B" w:rsidRDefault="00ED5F12" w:rsidP="00B23CDD">
      <w:pPr>
        <w:spacing w:after="0" w:line="240" w:lineRule="auto"/>
        <w:rPr>
          <w:rFonts w:ascii="Times New Roman" w:hAnsi="Times New Roman"/>
          <w:sz w:val="28"/>
          <w:szCs w:val="28"/>
        </w:rPr>
      </w:pPr>
      <w:r w:rsidRPr="00F2750B">
        <w:rPr>
          <w:rFonts w:ascii="Times New Roman" w:hAnsi="Times New Roman"/>
          <w:sz w:val="28"/>
          <w:szCs w:val="28"/>
        </w:rPr>
        <w:t xml:space="preserve">КНП НМР «ЦЕНТР ПМСД»                                              </w:t>
      </w:r>
      <w:r>
        <w:rPr>
          <w:rFonts w:ascii="Times New Roman" w:hAnsi="Times New Roman"/>
          <w:sz w:val="28"/>
          <w:szCs w:val="28"/>
        </w:rPr>
        <w:t>Оксана ХАРЧЕНКО</w:t>
      </w:r>
    </w:p>
    <w:p w:rsidR="00ED5F12" w:rsidRPr="00F2750B" w:rsidRDefault="00ED5F12" w:rsidP="00B23CDD">
      <w:pPr>
        <w:spacing w:after="0" w:line="240" w:lineRule="auto"/>
        <w:rPr>
          <w:rFonts w:ascii="Times New Roman" w:hAnsi="Times New Roman"/>
          <w:sz w:val="28"/>
          <w:szCs w:val="28"/>
        </w:rPr>
      </w:pPr>
      <w:bookmarkStart w:id="0" w:name="_GoBack"/>
      <w:bookmarkEnd w:id="0"/>
      <w:r w:rsidRPr="00F2750B">
        <w:rPr>
          <w:rFonts w:ascii="Times New Roman" w:hAnsi="Times New Roman"/>
          <w:sz w:val="28"/>
          <w:szCs w:val="28"/>
        </w:rPr>
        <w:t xml:space="preserve">Головний бухгалтер                                                             Олена </w:t>
      </w:r>
      <w:r>
        <w:rPr>
          <w:rFonts w:ascii="Times New Roman" w:hAnsi="Times New Roman"/>
          <w:sz w:val="28"/>
          <w:szCs w:val="28"/>
        </w:rPr>
        <w:t>ГРУША</w:t>
      </w:r>
    </w:p>
    <w:sectPr w:rsidR="00ED5F12" w:rsidRPr="00F2750B" w:rsidSect="009F5CCE">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1CEB"/>
    <w:multiLevelType w:val="hybridMultilevel"/>
    <w:tmpl w:val="5E1A943E"/>
    <w:lvl w:ilvl="0" w:tplc="67BC02EC">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57AE7162"/>
    <w:multiLevelType w:val="hybridMultilevel"/>
    <w:tmpl w:val="44946A72"/>
    <w:lvl w:ilvl="0" w:tplc="927AFD6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E6D"/>
    <w:rsid w:val="00020DEB"/>
    <w:rsid w:val="00033F03"/>
    <w:rsid w:val="00035E79"/>
    <w:rsid w:val="0003684E"/>
    <w:rsid w:val="0007268C"/>
    <w:rsid w:val="000A0D95"/>
    <w:rsid w:val="000A5D9E"/>
    <w:rsid w:val="000B126C"/>
    <w:rsid w:val="000B16B7"/>
    <w:rsid w:val="000B4BEC"/>
    <w:rsid w:val="000B5B2B"/>
    <w:rsid w:val="000B6785"/>
    <w:rsid w:val="000D1E29"/>
    <w:rsid w:val="000D4F7B"/>
    <w:rsid w:val="001106FC"/>
    <w:rsid w:val="001453F3"/>
    <w:rsid w:val="00160099"/>
    <w:rsid w:val="001634FD"/>
    <w:rsid w:val="00186F8F"/>
    <w:rsid w:val="001A1C4A"/>
    <w:rsid w:val="001A343E"/>
    <w:rsid w:val="001C0008"/>
    <w:rsid w:val="001E545A"/>
    <w:rsid w:val="001F386B"/>
    <w:rsid w:val="001F5A0B"/>
    <w:rsid w:val="001F5C12"/>
    <w:rsid w:val="00211993"/>
    <w:rsid w:val="00215838"/>
    <w:rsid w:val="00217BB4"/>
    <w:rsid w:val="00222557"/>
    <w:rsid w:val="00247E46"/>
    <w:rsid w:val="00260D23"/>
    <w:rsid w:val="002747D9"/>
    <w:rsid w:val="00284A3C"/>
    <w:rsid w:val="002910DF"/>
    <w:rsid w:val="002918CD"/>
    <w:rsid w:val="002B3569"/>
    <w:rsid w:val="002E293E"/>
    <w:rsid w:val="003040D0"/>
    <w:rsid w:val="00307ABD"/>
    <w:rsid w:val="00337620"/>
    <w:rsid w:val="003654A4"/>
    <w:rsid w:val="003866C9"/>
    <w:rsid w:val="003A7E0F"/>
    <w:rsid w:val="003B6E92"/>
    <w:rsid w:val="003B73A7"/>
    <w:rsid w:val="003C4AFB"/>
    <w:rsid w:val="003F77B3"/>
    <w:rsid w:val="00484D57"/>
    <w:rsid w:val="00495CC6"/>
    <w:rsid w:val="004D06F8"/>
    <w:rsid w:val="004D66CE"/>
    <w:rsid w:val="004F57B1"/>
    <w:rsid w:val="00523E27"/>
    <w:rsid w:val="00541147"/>
    <w:rsid w:val="0058135C"/>
    <w:rsid w:val="005940D6"/>
    <w:rsid w:val="005A58A3"/>
    <w:rsid w:val="005D67E9"/>
    <w:rsid w:val="005E13EC"/>
    <w:rsid w:val="005E4051"/>
    <w:rsid w:val="005E5A81"/>
    <w:rsid w:val="005F4FF7"/>
    <w:rsid w:val="00645B0A"/>
    <w:rsid w:val="006C112C"/>
    <w:rsid w:val="007074BF"/>
    <w:rsid w:val="007217EF"/>
    <w:rsid w:val="00724EA7"/>
    <w:rsid w:val="00743C06"/>
    <w:rsid w:val="00783546"/>
    <w:rsid w:val="007A3C5F"/>
    <w:rsid w:val="007A3D47"/>
    <w:rsid w:val="007D3A2C"/>
    <w:rsid w:val="007E151C"/>
    <w:rsid w:val="007F1BD6"/>
    <w:rsid w:val="00807F81"/>
    <w:rsid w:val="00833658"/>
    <w:rsid w:val="008425D3"/>
    <w:rsid w:val="008624AB"/>
    <w:rsid w:val="00871F75"/>
    <w:rsid w:val="008D054E"/>
    <w:rsid w:val="008D6A74"/>
    <w:rsid w:val="008D7474"/>
    <w:rsid w:val="00901448"/>
    <w:rsid w:val="009023AC"/>
    <w:rsid w:val="0091214A"/>
    <w:rsid w:val="009407A5"/>
    <w:rsid w:val="00951BF0"/>
    <w:rsid w:val="00951F11"/>
    <w:rsid w:val="00963E26"/>
    <w:rsid w:val="009664DA"/>
    <w:rsid w:val="00974D11"/>
    <w:rsid w:val="00983CFC"/>
    <w:rsid w:val="009A2AF8"/>
    <w:rsid w:val="009A5007"/>
    <w:rsid w:val="009E676C"/>
    <w:rsid w:val="009F5CCE"/>
    <w:rsid w:val="00A0696D"/>
    <w:rsid w:val="00A17E6D"/>
    <w:rsid w:val="00A35F29"/>
    <w:rsid w:val="00A86112"/>
    <w:rsid w:val="00AA6463"/>
    <w:rsid w:val="00AB197F"/>
    <w:rsid w:val="00AE38F2"/>
    <w:rsid w:val="00AE3E5C"/>
    <w:rsid w:val="00AF6488"/>
    <w:rsid w:val="00B22097"/>
    <w:rsid w:val="00B23CDD"/>
    <w:rsid w:val="00B248ED"/>
    <w:rsid w:val="00B57557"/>
    <w:rsid w:val="00B94277"/>
    <w:rsid w:val="00BA070D"/>
    <w:rsid w:val="00BA695E"/>
    <w:rsid w:val="00BE03CF"/>
    <w:rsid w:val="00C15D54"/>
    <w:rsid w:val="00C4140A"/>
    <w:rsid w:val="00C45F69"/>
    <w:rsid w:val="00C81793"/>
    <w:rsid w:val="00C87D25"/>
    <w:rsid w:val="00CA2B8D"/>
    <w:rsid w:val="00CA56EB"/>
    <w:rsid w:val="00CB7B8A"/>
    <w:rsid w:val="00CD536A"/>
    <w:rsid w:val="00CF1B61"/>
    <w:rsid w:val="00D02589"/>
    <w:rsid w:val="00D25E9A"/>
    <w:rsid w:val="00D30F9F"/>
    <w:rsid w:val="00D37DDF"/>
    <w:rsid w:val="00D43323"/>
    <w:rsid w:val="00D45BBF"/>
    <w:rsid w:val="00D556E6"/>
    <w:rsid w:val="00D61734"/>
    <w:rsid w:val="00DC3E35"/>
    <w:rsid w:val="00DC6D30"/>
    <w:rsid w:val="00DF1A0D"/>
    <w:rsid w:val="00E07663"/>
    <w:rsid w:val="00E13ED9"/>
    <w:rsid w:val="00E73821"/>
    <w:rsid w:val="00E83AC5"/>
    <w:rsid w:val="00EA0BC8"/>
    <w:rsid w:val="00EA1CA7"/>
    <w:rsid w:val="00EA75D5"/>
    <w:rsid w:val="00EB0072"/>
    <w:rsid w:val="00EC571A"/>
    <w:rsid w:val="00ED5F12"/>
    <w:rsid w:val="00ED7BDE"/>
    <w:rsid w:val="00EE35C5"/>
    <w:rsid w:val="00F01DD9"/>
    <w:rsid w:val="00F1045F"/>
    <w:rsid w:val="00F23C0B"/>
    <w:rsid w:val="00F2750B"/>
    <w:rsid w:val="00F31E77"/>
    <w:rsid w:val="00F469AB"/>
    <w:rsid w:val="00F70B87"/>
    <w:rsid w:val="00F8793E"/>
    <w:rsid w:val="00FA35C7"/>
    <w:rsid w:val="00FB0B8B"/>
    <w:rsid w:val="00FF4E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0A"/>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386B"/>
    <w:pPr>
      <w:ind w:left="720"/>
      <w:contextualSpacing/>
    </w:pPr>
  </w:style>
  <w:style w:type="character" w:customStyle="1" w:styleId="apple-converted-space">
    <w:name w:val="apple-converted-space"/>
    <w:uiPriority w:val="99"/>
    <w:rsid w:val="00951BF0"/>
  </w:style>
  <w:style w:type="character" w:styleId="Hyperlink">
    <w:name w:val="Hyperlink"/>
    <w:basedOn w:val="DefaultParagraphFont"/>
    <w:uiPriority w:val="99"/>
    <w:rsid w:val="00951BF0"/>
    <w:rPr>
      <w:rFonts w:cs="Times New Roman"/>
      <w:color w:val="0000FF"/>
      <w:u w:val="single"/>
    </w:rPr>
  </w:style>
  <w:style w:type="paragraph" w:styleId="BalloonText">
    <w:name w:val="Balloon Text"/>
    <w:basedOn w:val="Normal"/>
    <w:link w:val="BalloonTextChar"/>
    <w:uiPriority w:val="99"/>
    <w:semiHidden/>
    <w:rsid w:val="009F5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5CCE"/>
    <w:rPr>
      <w:rFonts w:ascii="Segoe UI" w:hAnsi="Segoe UI" w:cs="Segoe UI"/>
      <w:sz w:val="18"/>
      <w:szCs w:val="18"/>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1303-98-%D0%BF" TargetMode="External"/><Relationship Id="rId5" Type="http://schemas.openxmlformats.org/officeDocument/2006/relationships/hyperlink" Target="http://zakon.rada.gov.ua/laws/show/1303-98-%D0%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815</Words>
  <Characters>4646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2</cp:revision>
  <cp:lastPrinted>2023-10-23T11:59:00Z</cp:lastPrinted>
  <dcterms:created xsi:type="dcterms:W3CDTF">2023-10-24T07:46:00Z</dcterms:created>
  <dcterms:modified xsi:type="dcterms:W3CDTF">2023-10-24T07:46:00Z</dcterms:modified>
</cp:coreProperties>
</file>